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47858" w14:textId="77777777" w:rsidR="00382F0D" w:rsidRPr="006D7EEC" w:rsidRDefault="00382F0D" w:rsidP="00382F0D">
      <w:pPr>
        <w:spacing w:after="687" w:line="253" w:lineRule="auto"/>
        <w:ind w:left="336" w:right="331" w:firstLine="9"/>
        <w:jc w:val="both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>SALINAN</w:t>
      </w:r>
    </w:p>
    <w:p w14:paraId="291988A2" w14:textId="3A92BEBE" w:rsidR="00382F0D" w:rsidRPr="006D7EEC" w:rsidRDefault="00382F0D" w:rsidP="00382F0D">
      <w:pPr>
        <w:spacing w:after="107" w:line="269" w:lineRule="auto"/>
        <w:ind w:left="3304" w:right="567" w:hanging="1825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PERATURAN REKTOR UNIVERSITAS NEGERI MALANG NOMOR </w:t>
      </w:r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TAHUN </w:t>
      </w:r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539B7F53" w14:textId="77777777" w:rsidR="00382F0D" w:rsidRPr="006D7EEC" w:rsidRDefault="00382F0D" w:rsidP="00382F0D">
      <w:pPr>
        <w:spacing w:after="180"/>
        <w:ind w:left="10" w:right="4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</w:p>
    <w:p w14:paraId="77A270AC" w14:textId="77777777" w:rsidR="006F7F13" w:rsidRPr="006D7EEC" w:rsidRDefault="006F7F13" w:rsidP="00382F0D">
      <w:pPr>
        <w:spacing w:after="316"/>
        <w:ind w:left="10" w:right="29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6D7EEC">
        <w:rPr>
          <w:rFonts w:ascii="Times New Roman" w:eastAsia="Times New Roman" w:hAnsi="Times New Roman" w:cs="Times New Roman"/>
          <w:sz w:val="24"/>
          <w:szCs w:val="24"/>
        </w:rPr>
        <w:t>STANDAR TATA PAMONG D</w:t>
      </w:r>
      <w:bookmarkEnd w:id="0"/>
      <w:r w:rsidRPr="006D7EEC">
        <w:rPr>
          <w:rFonts w:ascii="Times New Roman" w:eastAsia="Times New Roman" w:hAnsi="Times New Roman" w:cs="Times New Roman"/>
          <w:sz w:val="24"/>
          <w:szCs w:val="24"/>
        </w:rPr>
        <w:t>AN KERJASAMA</w:t>
      </w:r>
    </w:p>
    <w:p w14:paraId="0F707024" w14:textId="7202FCA0" w:rsidR="00382F0D" w:rsidRPr="006D7EEC" w:rsidRDefault="006F7F13" w:rsidP="00382F0D">
      <w:pPr>
        <w:spacing w:after="316"/>
        <w:ind w:left="10" w:right="2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UNIVERSITAS </w:t>
      </w:r>
      <w:r w:rsidR="00382F0D" w:rsidRPr="006D7EEC">
        <w:rPr>
          <w:rFonts w:ascii="Times New Roman" w:eastAsia="Times New Roman" w:hAnsi="Times New Roman" w:cs="Times New Roman"/>
          <w:sz w:val="24"/>
          <w:szCs w:val="24"/>
        </w:rPr>
        <w:t>NEGERI MALANG</w:t>
      </w:r>
    </w:p>
    <w:p w14:paraId="678AD883" w14:textId="77777777" w:rsidR="00382F0D" w:rsidRPr="006D7EEC" w:rsidRDefault="00382F0D" w:rsidP="00382F0D">
      <w:pPr>
        <w:pStyle w:val="Heading1"/>
        <w:numPr>
          <w:ilvl w:val="0"/>
          <w:numId w:val="0"/>
        </w:numPr>
        <w:spacing w:after="303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>DENGAN RAHMAT TUHAN YANG MAHA ESA</w:t>
      </w:r>
    </w:p>
    <w:p w14:paraId="54A105B6" w14:textId="77777777" w:rsidR="00382F0D" w:rsidRPr="006D7EEC" w:rsidRDefault="00382F0D" w:rsidP="00382F0D">
      <w:pPr>
        <w:pStyle w:val="Heading2"/>
        <w:ind w:left="10" w:right="19"/>
        <w:rPr>
          <w:sz w:val="24"/>
          <w:szCs w:val="24"/>
        </w:rPr>
      </w:pPr>
      <w:r w:rsidRPr="006D7EEC">
        <w:rPr>
          <w:sz w:val="24"/>
          <w:szCs w:val="24"/>
        </w:rPr>
        <w:t>REKTOR UNIVERSITAS NEGERI MALANG,</w:t>
      </w:r>
    </w:p>
    <w:p w14:paraId="4064F514" w14:textId="658BBF1D" w:rsidR="00382F0D" w:rsidRPr="006D7EEC" w:rsidRDefault="00382F0D" w:rsidP="00382F0D">
      <w:pPr>
        <w:spacing w:after="78" w:line="253" w:lineRule="auto"/>
        <w:ind w:left="1925" w:right="58" w:hanging="18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Menimbang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D7EE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>a.</w:t>
      </w:r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dan Pendidikan Tinggi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44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Nasional Pendidikan Tinggi,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>melampaui</w:t>
      </w:r>
      <w:proofErr w:type="spellEnd"/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 xml:space="preserve"> Nasional Pendidikan Tinggi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1AD18F" w14:textId="734098C7" w:rsidR="00382F0D" w:rsidRPr="006D7EEC" w:rsidRDefault="00382F0D" w:rsidP="006F7F13">
      <w:pPr>
        <w:spacing w:after="32" w:line="253" w:lineRule="auto"/>
        <w:ind w:left="1910" w:right="58" w:hanging="278"/>
        <w:jc w:val="both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>b.</w:t>
      </w:r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Malang;</w:t>
      </w:r>
    </w:p>
    <w:p w14:paraId="254153AD" w14:textId="24BCC256" w:rsidR="00382F0D" w:rsidRPr="006D7EEC" w:rsidRDefault="00382F0D" w:rsidP="004302F9">
      <w:pPr>
        <w:tabs>
          <w:tab w:val="left" w:pos="1560"/>
        </w:tabs>
        <w:spacing w:after="8" w:line="253" w:lineRule="auto"/>
        <w:ind w:left="1904" w:hanging="19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7EEC"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EE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302F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Pendidikan</w:t>
      </w:r>
      <w:r w:rsidR="006F7F13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E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795FB7" wp14:editId="6A59BBD5">
            <wp:extent cx="6098" cy="6095"/>
            <wp:effectExtent l="0" t="0" r="0" b="0"/>
            <wp:docPr id="1263" name="Picture 1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Picture 12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EEC">
        <w:rPr>
          <w:rFonts w:ascii="Times New Roman" w:eastAsia="Times New Roman" w:hAnsi="Times New Roman" w:cs="Times New Roman"/>
          <w:sz w:val="24"/>
          <w:szCs w:val="24"/>
        </w:rPr>
        <w:t>Tinggi (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158,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>5336);</w:t>
      </w:r>
    </w:p>
    <w:p w14:paraId="44F76563" w14:textId="6C4DE011" w:rsidR="00382F0D" w:rsidRPr="004302F9" w:rsidRDefault="00382F0D" w:rsidP="00543856">
      <w:pPr>
        <w:numPr>
          <w:ilvl w:val="0"/>
          <w:numId w:val="19"/>
        </w:numPr>
        <w:tabs>
          <w:tab w:val="left" w:pos="1560"/>
        </w:tabs>
        <w:spacing w:after="32" w:line="25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="004302F9" w:rsidRPr="00430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Pendidikan Tinggi dan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="000045DA" w:rsidRPr="00430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2F9">
        <w:rPr>
          <w:rFonts w:ascii="Times New Roman" w:eastAsia="Times New Roman" w:hAnsi="Times New Roman" w:cs="Times New Roman"/>
          <w:sz w:val="24"/>
          <w:szCs w:val="24"/>
        </w:rPr>
        <w:t>Tinggi (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16,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4302F9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4302F9">
        <w:rPr>
          <w:rFonts w:ascii="Times New Roman" w:eastAsia="Times New Roman" w:hAnsi="Times New Roman" w:cs="Times New Roman"/>
          <w:sz w:val="24"/>
          <w:szCs w:val="24"/>
        </w:rPr>
        <w:t xml:space="preserve"> 5500);</w:t>
      </w:r>
    </w:p>
    <w:p w14:paraId="61F96273" w14:textId="77777777" w:rsidR="00382F0D" w:rsidRPr="006D7EEC" w:rsidRDefault="00382F0D" w:rsidP="00601D42">
      <w:pPr>
        <w:numPr>
          <w:ilvl w:val="0"/>
          <w:numId w:val="19"/>
        </w:numPr>
        <w:tabs>
          <w:tab w:val="left" w:pos="1560"/>
        </w:tabs>
        <w:spacing w:after="32" w:line="25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Menteri Pendidikan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Tata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 (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493);</w:t>
      </w:r>
    </w:p>
    <w:p w14:paraId="3742CDAA" w14:textId="77777777" w:rsidR="00382F0D" w:rsidRPr="006D7EEC" w:rsidRDefault="00382F0D" w:rsidP="00601D42">
      <w:pPr>
        <w:numPr>
          <w:ilvl w:val="0"/>
          <w:numId w:val="19"/>
        </w:numPr>
        <w:tabs>
          <w:tab w:val="left" w:pos="1560"/>
        </w:tabs>
        <w:spacing w:after="32" w:line="25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Menteri Pendidikan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71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Statuta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 (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1136);</w:t>
      </w:r>
    </w:p>
    <w:p w14:paraId="18D8BE37" w14:textId="7A64AA03" w:rsidR="00382F0D" w:rsidRPr="006D7EEC" w:rsidRDefault="00382F0D" w:rsidP="00601D42">
      <w:pPr>
        <w:numPr>
          <w:ilvl w:val="0"/>
          <w:numId w:val="19"/>
        </w:numPr>
        <w:tabs>
          <w:tab w:val="left" w:pos="1560"/>
        </w:tabs>
        <w:spacing w:after="3" w:line="26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dan Pendidikan Tinggi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44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Nasional Pendidikan Tinggi (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1952);</w:t>
      </w:r>
    </w:p>
    <w:p w14:paraId="5571BAFF" w14:textId="1270AB0E" w:rsidR="00382F0D" w:rsidRPr="006D7EEC" w:rsidRDefault="00382F0D" w:rsidP="00543856">
      <w:pPr>
        <w:numPr>
          <w:ilvl w:val="0"/>
          <w:numId w:val="19"/>
        </w:numPr>
        <w:tabs>
          <w:tab w:val="left" w:pos="1560"/>
        </w:tabs>
        <w:spacing w:after="3" w:line="26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Keputusan Menteri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279/KMK.05/2008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Penetapan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 pada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Pendidikan Nasional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Peng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>lolaan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A35FC2" w14:textId="7C4A62D2" w:rsidR="00382F0D" w:rsidRPr="006D7EEC" w:rsidRDefault="00382F0D" w:rsidP="00543856">
      <w:pPr>
        <w:numPr>
          <w:ilvl w:val="0"/>
          <w:numId w:val="19"/>
        </w:numPr>
        <w:tabs>
          <w:tab w:val="left" w:pos="1560"/>
        </w:tabs>
        <w:spacing w:after="3" w:line="26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Keputusan Menteri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dan Pendidikan Tinggi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248/MPK.A4/KP/2014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Pengangkatan</w:t>
      </w:r>
      <w:proofErr w:type="spellEnd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2014-2018;</w:t>
      </w:r>
    </w:p>
    <w:p w14:paraId="309D8C9D" w14:textId="1F34A1FC" w:rsidR="00382F0D" w:rsidRPr="006D7EEC" w:rsidRDefault="00382F0D" w:rsidP="00601D42">
      <w:pPr>
        <w:numPr>
          <w:ilvl w:val="0"/>
          <w:numId w:val="19"/>
        </w:numPr>
        <w:tabs>
          <w:tab w:val="left" w:pos="1560"/>
        </w:tabs>
        <w:spacing w:after="279" w:line="25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Senat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EEC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Malang;</w:t>
      </w:r>
    </w:p>
    <w:p w14:paraId="27283588" w14:textId="77777777" w:rsidR="00382F0D" w:rsidRPr="006D7EEC" w:rsidRDefault="00382F0D" w:rsidP="00382F0D">
      <w:pPr>
        <w:spacing w:after="442"/>
        <w:ind w:left="10" w:right="1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>MEMUTUSKAN:</w:t>
      </w:r>
    </w:p>
    <w:p w14:paraId="5D892F76" w14:textId="063FD8C0" w:rsidR="00382F0D" w:rsidRPr="006D7EEC" w:rsidRDefault="00382F0D" w:rsidP="000045DA">
      <w:pPr>
        <w:tabs>
          <w:tab w:val="left" w:pos="1701"/>
        </w:tabs>
        <w:spacing w:after="0" w:line="326" w:lineRule="auto"/>
        <w:ind w:left="1829" w:hanging="18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PERATURAN REKTOR UNIVERSITAS NEGERI MALANG TENTANG STANDAR 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TATA PAMONG DAN KERJASAMA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UNIVERSITAS NEGERI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>MALANG.</w:t>
      </w:r>
    </w:p>
    <w:p w14:paraId="43DC75CA" w14:textId="77777777" w:rsidR="000045DA" w:rsidRPr="006D7EEC" w:rsidRDefault="000045DA" w:rsidP="000045DA">
      <w:pPr>
        <w:tabs>
          <w:tab w:val="left" w:pos="1701"/>
        </w:tabs>
        <w:spacing w:after="0" w:line="326" w:lineRule="auto"/>
        <w:ind w:left="1829" w:hanging="1825"/>
        <w:rPr>
          <w:rFonts w:ascii="Times New Roman" w:hAnsi="Times New Roman" w:cs="Times New Roman"/>
          <w:sz w:val="24"/>
          <w:szCs w:val="24"/>
        </w:rPr>
      </w:pPr>
    </w:p>
    <w:p w14:paraId="72EEB81A" w14:textId="77777777" w:rsidR="00382F0D" w:rsidRPr="006D7EEC" w:rsidRDefault="00382F0D" w:rsidP="00382F0D">
      <w:pPr>
        <w:spacing w:after="16"/>
        <w:ind w:left="10" w:right="48" w:hanging="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p w14:paraId="4B19AF69" w14:textId="39B26F73" w:rsidR="00382F0D" w:rsidRPr="006D7EEC" w:rsidRDefault="00382F0D" w:rsidP="00382F0D">
      <w:pPr>
        <w:spacing w:after="320" w:line="253" w:lineRule="auto"/>
        <w:ind w:left="81" w:right="77" w:firstLine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tercantum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Lampiran yang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terpisahkan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6B33A0" w14:textId="77777777" w:rsidR="00382F0D" w:rsidRPr="006D7EEC" w:rsidRDefault="00382F0D" w:rsidP="00382F0D">
      <w:pPr>
        <w:spacing w:after="16"/>
        <w:ind w:left="10" w:right="58" w:hanging="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32A84ADB" w14:textId="25C59B26" w:rsidR="00382F0D" w:rsidRPr="006D7EEC" w:rsidRDefault="00382F0D" w:rsidP="00382F0D">
      <w:pPr>
        <w:spacing w:after="380" w:line="272" w:lineRule="auto"/>
        <w:ind w:left="48" w:firstLine="10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F87B7BE" wp14:editId="64A0B3EF">
            <wp:simplePos x="0" y="0"/>
            <wp:positionH relativeFrom="page">
              <wp:posOffset>878085</wp:posOffset>
            </wp:positionH>
            <wp:positionV relativeFrom="page">
              <wp:posOffset>9802954</wp:posOffset>
            </wp:positionV>
            <wp:extent cx="12196" cy="6096"/>
            <wp:effectExtent l="0" t="0" r="0" b="0"/>
            <wp:wrapSquare wrapText="bothSides"/>
            <wp:docPr id="2367" name="Picture 2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" name="Picture 23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Malang.</w:t>
      </w:r>
    </w:p>
    <w:p w14:paraId="7D4C8334" w14:textId="77777777" w:rsidR="00382F0D" w:rsidRPr="006D7EEC" w:rsidRDefault="00382F0D" w:rsidP="00382F0D">
      <w:pPr>
        <w:spacing w:after="16"/>
        <w:ind w:left="10" w:right="67" w:hanging="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14:paraId="7B526550" w14:textId="77777777" w:rsidR="00382F0D" w:rsidRPr="006D7EEC" w:rsidRDefault="00382F0D" w:rsidP="00382F0D">
      <w:pPr>
        <w:spacing w:after="577" w:line="253" w:lineRule="auto"/>
        <w:ind w:left="81" w:right="331" w:firstLine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AE91D" w14:textId="77777777" w:rsidR="000045DA" w:rsidRPr="006D7EEC" w:rsidRDefault="00382F0D" w:rsidP="000045DA">
      <w:pPr>
        <w:spacing w:after="32" w:line="253" w:lineRule="auto"/>
        <w:ind w:left="3600" w:right="46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di Malang</w:t>
      </w:r>
    </w:p>
    <w:p w14:paraId="23059EFB" w14:textId="788FC238" w:rsidR="00382F0D" w:rsidRPr="006D7EEC" w:rsidRDefault="00382F0D" w:rsidP="000045DA">
      <w:pPr>
        <w:spacing w:after="32" w:line="253" w:lineRule="auto"/>
        <w:ind w:left="4320" w:right="461"/>
        <w:jc w:val="both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Desember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14:paraId="29B0D2D6" w14:textId="77777777" w:rsidR="00382F0D" w:rsidRPr="006D7EEC" w:rsidRDefault="00382F0D" w:rsidP="000045DA">
      <w:pPr>
        <w:spacing w:after="262"/>
        <w:ind w:left="4263" w:firstLine="57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>REKTOR,</w:t>
      </w:r>
    </w:p>
    <w:p w14:paraId="7F951270" w14:textId="77777777" w:rsidR="00382F0D" w:rsidRPr="006D7EEC" w:rsidRDefault="00382F0D" w:rsidP="000045DA">
      <w:pPr>
        <w:spacing w:after="296"/>
        <w:ind w:left="3639" w:firstLine="624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>TPD.</w:t>
      </w:r>
    </w:p>
    <w:p w14:paraId="14F14375" w14:textId="614DDD47" w:rsidR="00382F0D" w:rsidRPr="006D7EEC" w:rsidRDefault="00382F0D" w:rsidP="00D45504">
      <w:pPr>
        <w:spacing w:after="240"/>
        <w:ind w:left="3544" w:firstLine="720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>AH. ROFI'UDDIN</w:t>
      </w:r>
    </w:p>
    <w:p w14:paraId="06B5A138" w14:textId="77777777" w:rsidR="00382F0D" w:rsidRPr="006D7EEC" w:rsidRDefault="00382F0D" w:rsidP="00382F0D">
      <w:pPr>
        <w:spacing w:after="3" w:line="269" w:lineRule="auto"/>
        <w:ind w:left="19" w:firstLine="9"/>
        <w:jc w:val="both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Salinan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aslinya</w:t>
      </w:r>
      <w:proofErr w:type="spellEnd"/>
    </w:p>
    <w:p w14:paraId="00F6A04A" w14:textId="77777777" w:rsidR="00382F0D" w:rsidRPr="006D7EEC" w:rsidRDefault="00382F0D" w:rsidP="00382F0D">
      <w:pPr>
        <w:spacing w:after="0" w:line="269" w:lineRule="auto"/>
        <w:ind w:left="4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Biro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06FDA2D" w14:textId="77777777" w:rsidR="00382F0D" w:rsidRPr="006D7EEC" w:rsidRDefault="00382F0D" w:rsidP="00382F0D">
      <w:pPr>
        <w:spacing w:after="53"/>
        <w:ind w:left="230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23D5B5" wp14:editId="6DCA3A39">
            <wp:extent cx="585390" cy="658408"/>
            <wp:effectExtent l="0" t="0" r="0" b="0"/>
            <wp:docPr id="2392" name="Picture 2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" name="Picture 23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390" cy="65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1B908" w14:textId="77777777" w:rsidR="00382F0D" w:rsidRPr="006D7EEC" w:rsidRDefault="00382F0D" w:rsidP="00382F0D">
      <w:pPr>
        <w:spacing w:after="8" w:line="265" w:lineRule="auto"/>
        <w:ind w:left="5" w:hanging="10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Amin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Sidiq</w:t>
      </w:r>
      <w:proofErr w:type="spellEnd"/>
    </w:p>
    <w:p w14:paraId="78F42E39" w14:textId="032ED46C" w:rsidR="00382F0D" w:rsidRPr="006D7EEC" w:rsidRDefault="00382F0D" w:rsidP="00382F0D">
      <w:pPr>
        <w:spacing w:after="8" w:line="265" w:lineRule="auto"/>
        <w:ind w:left="5" w:hanging="10"/>
        <w:rPr>
          <w:rFonts w:ascii="Times New Roman" w:eastAsia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NIP 196011011987091001 </w:t>
      </w:r>
      <w:r w:rsidRPr="006D7E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2882C3" wp14:editId="672D3599">
            <wp:extent cx="24391" cy="6097"/>
            <wp:effectExtent l="0" t="0" r="0" b="0"/>
            <wp:docPr id="2368" name="Picture 2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" name="Picture 23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91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E3FBF" w14:textId="77777777" w:rsidR="00382F0D" w:rsidRPr="006D7EEC" w:rsidRDefault="00382F0D" w:rsidP="000045DA">
      <w:pPr>
        <w:spacing w:after="0"/>
        <w:ind w:left="1985" w:hanging="10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lastRenderedPageBreak/>
        <w:t>LAMPIRAN</w:t>
      </w:r>
    </w:p>
    <w:p w14:paraId="34006E5C" w14:textId="77777777" w:rsidR="00382F0D" w:rsidRPr="006D7EEC" w:rsidRDefault="00382F0D" w:rsidP="00382F0D">
      <w:pPr>
        <w:spacing w:after="0"/>
        <w:ind w:left="427" w:hanging="10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>SALINAN</w:t>
      </w:r>
    </w:p>
    <w:p w14:paraId="0F968F73" w14:textId="77777777" w:rsidR="00382F0D" w:rsidRPr="006D7EEC" w:rsidRDefault="00382F0D" w:rsidP="000045DA">
      <w:pPr>
        <w:spacing w:after="59" w:line="265" w:lineRule="auto"/>
        <w:ind w:left="1985" w:hanging="10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>PERATURAN REKTOR UNIVERSITAS NEGERI MALANG</w:t>
      </w:r>
    </w:p>
    <w:p w14:paraId="1E09E1F5" w14:textId="77777777" w:rsidR="00382F0D" w:rsidRPr="006D7EEC" w:rsidRDefault="00382F0D" w:rsidP="000045DA">
      <w:pPr>
        <w:spacing w:after="0" w:line="265" w:lineRule="auto"/>
        <w:ind w:left="1985" w:hanging="10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>NOMOR 16 TAHUN 2016</w:t>
      </w:r>
    </w:p>
    <w:p w14:paraId="7C2E29CD" w14:textId="77777777" w:rsidR="00382F0D" w:rsidRPr="006D7EEC" w:rsidRDefault="00382F0D" w:rsidP="000045DA">
      <w:pPr>
        <w:spacing w:after="25" w:line="265" w:lineRule="auto"/>
        <w:ind w:left="1985" w:hanging="10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</w:p>
    <w:p w14:paraId="12068759" w14:textId="76893409" w:rsidR="00382F0D" w:rsidRPr="006D7EEC" w:rsidRDefault="00382F0D" w:rsidP="000045DA">
      <w:pPr>
        <w:spacing w:after="587" w:line="265" w:lineRule="auto"/>
        <w:ind w:left="1985" w:hanging="10"/>
        <w:rPr>
          <w:rFonts w:ascii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STANDAR 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TATA PAMONG DAN KERJASAMA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UNIVERSITAS NEGERI MALANG</w:t>
      </w:r>
    </w:p>
    <w:p w14:paraId="1F832E23" w14:textId="0C650D93" w:rsidR="00382F0D" w:rsidRPr="006D7EEC" w:rsidRDefault="00382F0D" w:rsidP="00601D42">
      <w:pPr>
        <w:pStyle w:val="Heading1"/>
        <w:numPr>
          <w:ilvl w:val="0"/>
          <w:numId w:val="23"/>
        </w:numPr>
        <w:spacing w:after="192"/>
        <w:ind w:right="-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color w:val="auto"/>
          <w:sz w:val="24"/>
          <w:szCs w:val="24"/>
        </w:rPr>
        <w:t>LATAR BELAKANG</w:t>
      </w:r>
    </w:p>
    <w:p w14:paraId="068DAF2A" w14:textId="77777777" w:rsidR="00382F0D" w:rsidRPr="006D7EEC" w:rsidRDefault="00382F0D" w:rsidP="000045DA">
      <w:pPr>
        <w:spacing w:after="3" w:line="245" w:lineRule="auto"/>
        <w:ind w:left="91" w:right="-2" w:firstLine="5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 (UM)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motto The Learning University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berupaya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1)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tumbuh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(learning organization)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internal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eksternal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jaminan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; (2)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nuansa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membelajarkan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pimpinan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teknisi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fungsional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Iainnya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; (3)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lulusan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terpelajar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lulusan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teknikal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memasuki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lulusan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UM yang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terpelajar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858573" w14:textId="0EF6FE76" w:rsidR="00382F0D" w:rsidRPr="006D7EEC" w:rsidRDefault="00382F0D" w:rsidP="00382F0D">
      <w:pPr>
        <w:spacing w:after="26" w:line="256" w:lineRule="auto"/>
        <w:ind w:left="106" w:right="-2" w:firstLine="5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The Learning University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UM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(yang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Malang) yang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045DA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pelampauan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dan Pendidikan Tinggi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44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Nasional Pendidikan Tinggi (SN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Dikti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penciri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UM.</w:t>
      </w:r>
    </w:p>
    <w:p w14:paraId="115D402E" w14:textId="2A2A9570" w:rsidR="00382F0D" w:rsidRPr="006D7EEC" w:rsidRDefault="00382F0D" w:rsidP="00382F0D">
      <w:pPr>
        <w:spacing w:after="42" w:line="245" w:lineRule="auto"/>
        <w:ind w:left="91" w:right="-2"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merencanakan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UM yang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dijabarkan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Penjaminan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Akreditasi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Eksternal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Keuanagn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Penjaminan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 w:rsidR="009D5E71"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Pemangku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rambu-rambu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UM.</w:t>
      </w:r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dijabarkan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SN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Dikti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aspek-aspek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UM di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Pendidikan.</w:t>
      </w:r>
    </w:p>
    <w:p w14:paraId="10BA2B38" w14:textId="77777777" w:rsidR="006D1148" w:rsidRPr="006D7EEC" w:rsidRDefault="006D1148" w:rsidP="00382F0D">
      <w:pPr>
        <w:pStyle w:val="Heading1"/>
        <w:numPr>
          <w:ilvl w:val="0"/>
          <w:numId w:val="0"/>
        </w:numPr>
        <w:ind w:right="-2"/>
        <w:rPr>
          <w:rFonts w:ascii="Times New Roman" w:hAnsi="Times New Roman" w:cs="Times New Roman"/>
          <w:sz w:val="24"/>
          <w:szCs w:val="24"/>
        </w:rPr>
      </w:pPr>
    </w:p>
    <w:p w14:paraId="17B49305" w14:textId="33F18A46" w:rsidR="00382F0D" w:rsidRPr="006D7EEC" w:rsidRDefault="00382F0D" w:rsidP="00601D42">
      <w:pPr>
        <w:pStyle w:val="Heading1"/>
        <w:numPr>
          <w:ilvl w:val="0"/>
          <w:numId w:val="23"/>
        </w:numPr>
        <w:spacing w:after="192"/>
        <w:ind w:right="-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color w:val="auto"/>
          <w:sz w:val="24"/>
          <w:szCs w:val="24"/>
        </w:rPr>
        <w:t>TUJUAN</w:t>
      </w:r>
    </w:p>
    <w:p w14:paraId="0578F4AC" w14:textId="0C4FD95C" w:rsidR="00382F0D" w:rsidRPr="006D7EEC" w:rsidRDefault="00382F0D" w:rsidP="00382F0D">
      <w:pPr>
        <w:spacing w:after="251" w:line="253" w:lineRule="auto"/>
        <w:ind w:left="81" w:right="-2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kriteria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minimal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Malang.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di UM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148" w:rsidRPr="006D7EEC">
        <w:rPr>
          <w:rFonts w:ascii="Times New Roman" w:eastAsia="Times New Roman" w:hAnsi="Times New Roman" w:cs="Times New Roman"/>
          <w:sz w:val="24"/>
          <w:szCs w:val="24"/>
        </w:rPr>
        <w:t>menunjang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>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Pendidikan,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Pengabdian</w:t>
      </w:r>
      <w:proofErr w:type="spellEnd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 Masyarakat,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Kemahasiswaan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4F1366" w14:textId="7E551D61" w:rsidR="00382F0D" w:rsidRPr="006D7EEC" w:rsidRDefault="00382F0D" w:rsidP="00601D42">
      <w:pPr>
        <w:pStyle w:val="ListParagraph"/>
        <w:numPr>
          <w:ilvl w:val="0"/>
          <w:numId w:val="21"/>
        </w:numPr>
        <w:spacing w:after="32" w:line="253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jabaran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Nasional Pendidikan Tinggi No 44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2015 yang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diimplementasi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di UM.</w:t>
      </w:r>
    </w:p>
    <w:p w14:paraId="50A7EA46" w14:textId="3180EF87" w:rsidR="00382F0D" w:rsidRPr="006D7EEC" w:rsidRDefault="00382F0D" w:rsidP="00601D42">
      <w:pPr>
        <w:pStyle w:val="ListParagraph"/>
        <w:numPr>
          <w:ilvl w:val="0"/>
          <w:numId w:val="21"/>
        </w:numPr>
        <w:spacing w:after="222" w:line="253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UM.</w:t>
      </w:r>
    </w:p>
    <w:p w14:paraId="54D35E70" w14:textId="77777777" w:rsidR="00382F0D" w:rsidRPr="006D7EEC" w:rsidRDefault="00382F0D" w:rsidP="00601D42">
      <w:pPr>
        <w:pStyle w:val="Heading1"/>
        <w:numPr>
          <w:ilvl w:val="0"/>
          <w:numId w:val="23"/>
        </w:numPr>
        <w:spacing w:after="192"/>
        <w:ind w:left="567" w:right="-2" w:hanging="56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color w:val="auto"/>
          <w:sz w:val="24"/>
          <w:szCs w:val="24"/>
        </w:rPr>
        <w:t>LANDASAN HUKUM</w:t>
      </w:r>
    </w:p>
    <w:p w14:paraId="4BDAD4D0" w14:textId="0EA5A190" w:rsidR="00382F0D" w:rsidRPr="006D7EEC" w:rsidRDefault="00382F0D" w:rsidP="00601D42">
      <w:pPr>
        <w:numPr>
          <w:ilvl w:val="0"/>
          <w:numId w:val="22"/>
        </w:numPr>
        <w:spacing w:after="0"/>
        <w:ind w:left="567" w:right="-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2003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Pendidikan Nasional (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2003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78,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4301);</w:t>
      </w:r>
    </w:p>
    <w:p w14:paraId="4F7C7FF0" w14:textId="116B3F9B" w:rsidR="00382F0D" w:rsidRPr="006D7EEC" w:rsidRDefault="00382F0D" w:rsidP="00601D42">
      <w:pPr>
        <w:numPr>
          <w:ilvl w:val="0"/>
          <w:numId w:val="22"/>
        </w:numPr>
        <w:spacing w:after="66" w:line="269" w:lineRule="auto"/>
        <w:ind w:left="567" w:right="-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Guru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157,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4586);</w:t>
      </w:r>
    </w:p>
    <w:p w14:paraId="500A4E6D" w14:textId="752C3E49" w:rsidR="00382F0D" w:rsidRPr="006D7EEC" w:rsidRDefault="00382F0D" w:rsidP="00601D42">
      <w:pPr>
        <w:numPr>
          <w:ilvl w:val="0"/>
          <w:numId w:val="22"/>
        </w:numPr>
        <w:spacing w:after="32" w:line="253" w:lineRule="auto"/>
        <w:ind w:left="567" w:right="-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Pendidikan Tinggi</w:t>
      </w:r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158,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5336);</w:t>
      </w:r>
    </w:p>
    <w:p w14:paraId="366F9AB8" w14:textId="77777777" w:rsidR="00382F0D" w:rsidRPr="006D7EEC" w:rsidRDefault="00382F0D" w:rsidP="00601D42">
      <w:pPr>
        <w:numPr>
          <w:ilvl w:val="0"/>
          <w:numId w:val="22"/>
        </w:numPr>
        <w:spacing w:after="0"/>
        <w:ind w:left="567" w:right="-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37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2009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2009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76,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507);</w:t>
      </w:r>
    </w:p>
    <w:p w14:paraId="7D957AC2" w14:textId="52FA1588" w:rsidR="00382F0D" w:rsidRPr="006D7EEC" w:rsidRDefault="00382F0D" w:rsidP="00601D42">
      <w:pPr>
        <w:numPr>
          <w:ilvl w:val="0"/>
          <w:numId w:val="22"/>
        </w:numPr>
        <w:spacing w:after="61" w:line="253" w:lineRule="auto"/>
        <w:ind w:left="567" w:right="-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Pendidikan Tinggi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Tinggi (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</w:t>
      </w:r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16,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5500);</w:t>
      </w:r>
    </w:p>
    <w:p w14:paraId="6A935072" w14:textId="77777777" w:rsidR="00382F0D" w:rsidRPr="006D7EEC" w:rsidRDefault="00382F0D" w:rsidP="00601D42">
      <w:pPr>
        <w:numPr>
          <w:ilvl w:val="0"/>
          <w:numId w:val="22"/>
        </w:numPr>
        <w:spacing w:after="0"/>
        <w:ind w:left="567" w:right="-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Kualifikasi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Nasional Indonesia;</w:t>
      </w:r>
    </w:p>
    <w:p w14:paraId="30821BE1" w14:textId="77777777" w:rsidR="00382F0D" w:rsidRPr="006D7EEC" w:rsidRDefault="00382F0D" w:rsidP="00601D42">
      <w:pPr>
        <w:numPr>
          <w:ilvl w:val="0"/>
          <w:numId w:val="22"/>
        </w:numPr>
        <w:spacing w:after="0"/>
        <w:ind w:left="567" w:right="-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Menteri Pendidikan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Tata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 (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493);</w:t>
      </w:r>
    </w:p>
    <w:p w14:paraId="0A7440E3" w14:textId="77777777" w:rsidR="00382F0D" w:rsidRPr="006D7EEC" w:rsidRDefault="00382F0D" w:rsidP="00601D42">
      <w:pPr>
        <w:numPr>
          <w:ilvl w:val="0"/>
          <w:numId w:val="22"/>
        </w:numPr>
        <w:spacing w:after="0"/>
        <w:ind w:left="567" w:right="-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Menteri Pendidikan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73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2013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Kualifikasi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Nasional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Pendidikan Tinggi (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2013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831);</w:t>
      </w:r>
    </w:p>
    <w:p w14:paraId="28E9F625" w14:textId="77777777" w:rsidR="00382F0D" w:rsidRPr="006D7EEC" w:rsidRDefault="00382F0D" w:rsidP="00601D42">
      <w:pPr>
        <w:numPr>
          <w:ilvl w:val="0"/>
          <w:numId w:val="22"/>
        </w:numPr>
        <w:spacing w:after="0"/>
        <w:ind w:left="567" w:right="-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Menteri Pendidikan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81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Ijazah,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Sertifikat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Sertifikat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Pendidikan Tinggi (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1179);</w:t>
      </w:r>
    </w:p>
    <w:p w14:paraId="0CCA38B9" w14:textId="77777777" w:rsidR="00382F0D" w:rsidRPr="006D7EEC" w:rsidRDefault="00382F0D" w:rsidP="00601D42">
      <w:pPr>
        <w:numPr>
          <w:ilvl w:val="0"/>
          <w:numId w:val="22"/>
        </w:numPr>
        <w:spacing w:after="0"/>
        <w:ind w:left="567" w:right="-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dan Pendidikan Tinggi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44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Nasional Pendidikan Tinggi;</w:t>
      </w:r>
    </w:p>
    <w:p w14:paraId="19A58099" w14:textId="02D1A1D3" w:rsidR="00382F0D" w:rsidRDefault="00382F0D" w:rsidP="00601D42">
      <w:pPr>
        <w:numPr>
          <w:ilvl w:val="0"/>
          <w:numId w:val="22"/>
        </w:numPr>
        <w:spacing w:after="83" w:line="253" w:lineRule="auto"/>
        <w:ind w:left="567" w:right="-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Keputusan Menteri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, dan Pendidikan Tinggi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="006D7EEC"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248/ MPK.A4/ KP/ 2014 ten tang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Pemberhentian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Pengangkatan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7EE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D7EEC">
        <w:rPr>
          <w:rFonts w:ascii="Times New Roman" w:eastAsia="Times New Roman" w:hAnsi="Times New Roman" w:cs="Times New Roman"/>
          <w:sz w:val="24"/>
          <w:szCs w:val="24"/>
        </w:rPr>
        <w:t xml:space="preserve"> Negeri Malang;</w:t>
      </w:r>
    </w:p>
    <w:p w14:paraId="3F39C444" w14:textId="77777777" w:rsidR="00D45504" w:rsidRPr="006D7EEC" w:rsidRDefault="00D45504" w:rsidP="00D45504">
      <w:pPr>
        <w:spacing w:after="83" w:line="253" w:lineRule="auto"/>
        <w:ind w:left="56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1EC91" w14:textId="46EA06DB" w:rsidR="00C34E18" w:rsidRPr="00CD2240" w:rsidRDefault="00D45504" w:rsidP="00601D42">
      <w:pPr>
        <w:pStyle w:val="ListParagraph"/>
        <w:numPr>
          <w:ilvl w:val="0"/>
          <w:numId w:val="18"/>
        </w:numPr>
        <w:spacing w:after="0" w:line="276" w:lineRule="auto"/>
        <w:ind w:hanging="1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STANDAR </w:t>
      </w:r>
      <w:r w:rsidR="009715B8" w:rsidRPr="00CD2240">
        <w:rPr>
          <w:rFonts w:ascii="Times New Roman" w:hAnsi="Times New Roman" w:cs="Times New Roman"/>
          <w:b/>
          <w:bCs/>
          <w:sz w:val="24"/>
          <w:szCs w:val="24"/>
        </w:rPr>
        <w:t>SISTEM TATA PAMONG</w:t>
      </w:r>
    </w:p>
    <w:p w14:paraId="4208BAB2" w14:textId="2C306C8F" w:rsidR="00EC72EF" w:rsidRPr="00D409DA" w:rsidRDefault="00EC72EF" w:rsidP="00601D4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</w:p>
    <w:p w14:paraId="3C9C316A" w14:textId="125F7210" w:rsidR="00D504AC" w:rsidRPr="00D409DA" w:rsidRDefault="00D504AC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Pamong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optimal.</w:t>
      </w:r>
    </w:p>
    <w:p w14:paraId="72A7993D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544C97" w14:textId="0F7639BA" w:rsidR="00EC72EF" w:rsidRPr="00D409DA" w:rsidRDefault="00EC72EF" w:rsidP="00601D4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45916112" w14:textId="22AEB9AA" w:rsidR="00D504AC" w:rsidRPr="00D409DA" w:rsidRDefault="00D504AC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proofErr w:type="gramStart"/>
      <w:r w:rsidRPr="00D409DA">
        <w:rPr>
          <w:rFonts w:ascii="Times New Roman" w:hAnsi="Times New Roman" w:cs="Times New Roman"/>
          <w:sz w:val="24"/>
          <w:szCs w:val="24"/>
        </w:rPr>
        <w:t>Pamong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proofErr w:type="gram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UM.</w:t>
      </w:r>
    </w:p>
    <w:p w14:paraId="24157604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7F95B1" w14:textId="307C9C23" w:rsidR="00EC72EF" w:rsidRPr="00D409DA" w:rsidRDefault="00EC72EF" w:rsidP="00601D4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</w:p>
    <w:p w14:paraId="377EA59C" w14:textId="665D4753" w:rsidR="00F925AE" w:rsidRPr="00D409DA" w:rsidRDefault="00F925AE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Pamong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1)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pamong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yang sahih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4)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yang sahih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Good University Governance (paling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dan 5)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keberfungsian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23862D1F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1E3AFE" w14:textId="7E2A2FA9" w:rsidR="00EC72EF" w:rsidRPr="00D409DA" w:rsidRDefault="00EC72EF" w:rsidP="00601D4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Tata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Pamong</w:t>
      </w:r>
      <w:proofErr w:type="spellEnd"/>
    </w:p>
    <w:p w14:paraId="4FEC9775" w14:textId="484F8674" w:rsidR="004D503E" w:rsidRPr="00D409DA" w:rsidRDefault="00C34E18" w:rsidP="00601D42">
      <w:pPr>
        <w:pStyle w:val="ListParagraph"/>
        <w:numPr>
          <w:ilvl w:val="1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pamong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yang legal yang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C7BA6"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4D503E" w:rsidRPr="00D409D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4825CC6F" w14:textId="094A75D7" w:rsidR="004D503E" w:rsidRPr="00D409DA" w:rsidRDefault="00AC7BA6" w:rsidP="00601D42">
      <w:pPr>
        <w:pStyle w:val="ListParagraph"/>
        <w:numPr>
          <w:ilvl w:val="1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yang sahih (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43ED0E34" w14:textId="10B46F11" w:rsidR="004D503E" w:rsidRPr="00D409DA" w:rsidRDefault="00AC7BA6" w:rsidP="00601D42">
      <w:pPr>
        <w:pStyle w:val="ListParagraph"/>
        <w:numPr>
          <w:ilvl w:val="1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legal dan formal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terlaksananya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2A75A072" w14:textId="58C75568" w:rsidR="004D503E" w:rsidRPr="00D409DA" w:rsidRDefault="00AC7BA6" w:rsidP="00601D42">
      <w:pPr>
        <w:pStyle w:val="ListParagraph"/>
        <w:numPr>
          <w:ilvl w:val="1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yang sahih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GUG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D503E" w:rsidRPr="00D409DA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4D503E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2DF58C13" w14:textId="6D7DBC4D" w:rsidR="00810261" w:rsidRPr="00D409DA" w:rsidRDefault="00AC7BA6" w:rsidP="00601D42">
      <w:pPr>
        <w:pStyle w:val="ListParagraph"/>
        <w:numPr>
          <w:ilvl w:val="1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253E70DF" w14:textId="040E70CC" w:rsidR="00810261" w:rsidRDefault="00810261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</w:p>
    <w:p w14:paraId="3909E82C" w14:textId="4C1CC450" w:rsidR="00543856" w:rsidRDefault="00543856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</w:p>
    <w:p w14:paraId="06A41339" w14:textId="77777777" w:rsidR="00543856" w:rsidRPr="00D409DA" w:rsidRDefault="00543856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</w:p>
    <w:p w14:paraId="3C974744" w14:textId="6C3934A3" w:rsidR="00810261" w:rsidRPr="00D409DA" w:rsidRDefault="00D45504" w:rsidP="00601D42">
      <w:pPr>
        <w:pStyle w:val="ListParagraph"/>
        <w:numPr>
          <w:ilvl w:val="0"/>
          <w:numId w:val="18"/>
        </w:numPr>
        <w:spacing w:after="0" w:line="276" w:lineRule="auto"/>
        <w:ind w:hanging="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STANDAR </w:t>
      </w:r>
      <w:r w:rsidR="009715B8" w:rsidRPr="00D409DA">
        <w:rPr>
          <w:rFonts w:ascii="Times New Roman" w:hAnsi="Times New Roman" w:cs="Times New Roman"/>
          <w:b/>
          <w:bCs/>
          <w:sz w:val="24"/>
          <w:szCs w:val="24"/>
        </w:rPr>
        <w:t>KEPEMIMPINAN</w:t>
      </w:r>
    </w:p>
    <w:p w14:paraId="60E95579" w14:textId="77777777" w:rsidR="00AC7BA6" w:rsidRPr="00D409DA" w:rsidRDefault="00AC7BA6" w:rsidP="00601D4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</w:p>
    <w:p w14:paraId="7280ED0D" w14:textId="62A195F9" w:rsidR="00AC7BA6" w:rsidRPr="00D409DA" w:rsidRDefault="00466518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target </w:t>
      </w:r>
      <w:r w:rsidRPr="00D409DA">
        <w:rPr>
          <w:rFonts w:ascii="Times New Roman" w:hAnsi="Times New Roman" w:cs="Times New Roman"/>
          <w:i/>
          <w:iCs/>
          <w:sz w:val="24"/>
          <w:szCs w:val="24"/>
        </w:rPr>
        <w:t>(goal)</w:t>
      </w:r>
      <w:r w:rsidRPr="00D409D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Renstra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2015-2019.</w:t>
      </w:r>
    </w:p>
    <w:p w14:paraId="6C0355EF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1313B7" w14:textId="77777777" w:rsidR="00AC7BA6" w:rsidRPr="00D409DA" w:rsidRDefault="00AC7BA6" w:rsidP="00601D4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11E84766" w14:textId="5704A1EA" w:rsidR="00AC7BA6" w:rsidRPr="00D409DA" w:rsidRDefault="00AC7BA6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proofErr w:type="gramStart"/>
      <w:r w:rsidRPr="00D409DA">
        <w:rPr>
          <w:rFonts w:ascii="Times New Roman" w:hAnsi="Times New Roman" w:cs="Times New Roman"/>
          <w:sz w:val="24"/>
          <w:szCs w:val="24"/>
        </w:rPr>
        <w:t>Pamong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proofErr w:type="gram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target </w:t>
      </w:r>
      <w:r w:rsidR="00466518" w:rsidRPr="00D409DA">
        <w:rPr>
          <w:rFonts w:ascii="Times New Roman" w:hAnsi="Times New Roman" w:cs="Times New Roman"/>
          <w:i/>
          <w:iCs/>
          <w:sz w:val="24"/>
          <w:szCs w:val="24"/>
        </w:rPr>
        <w:t>(goal)</w:t>
      </w:r>
      <w:r w:rsidR="00466518" w:rsidRPr="00D409D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Renstra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2015-2019 </w:t>
      </w:r>
      <w:r w:rsidRPr="00D409D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UM.</w:t>
      </w:r>
    </w:p>
    <w:p w14:paraId="67C48405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07C775" w14:textId="77777777" w:rsidR="00AC7BA6" w:rsidRPr="00D409DA" w:rsidRDefault="00AC7BA6" w:rsidP="00601D4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</w:p>
    <w:p w14:paraId="207B9E36" w14:textId="790990E0" w:rsidR="00AC7BA6" w:rsidRPr="00D409DA" w:rsidRDefault="00AC7BA6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1)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insitusi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yang sahih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terjalinnya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r w:rsidR="00466518" w:rsidRPr="00D409DA">
        <w:rPr>
          <w:rFonts w:ascii="Times New Roman" w:eastAsia="Arial" w:hAnsi="Times New Roman" w:cs="Times New Roman"/>
          <w:i/>
          <w:sz w:val="24"/>
          <w:szCs w:val="24"/>
        </w:rPr>
        <w:t>stakeholders</w:t>
      </w:r>
      <w:r w:rsidR="00466518" w:rsidRPr="00D409DA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kaji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6518" w:rsidRPr="00D409DA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="00466518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7F07D223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7134C4" w14:textId="5EE83C6A" w:rsidR="00AC7BA6" w:rsidRPr="00D409DA" w:rsidRDefault="00AC7BA6" w:rsidP="00601D4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D2C36" w:rsidRPr="00D409DA"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</w:p>
    <w:p w14:paraId="154E99A9" w14:textId="4CD2C2FD" w:rsidR="00810261" w:rsidRPr="00D409DA" w:rsidRDefault="00466518" w:rsidP="00601D42">
      <w:pPr>
        <w:pStyle w:val="ListParagraph"/>
        <w:numPr>
          <w:ilvl w:val="0"/>
          <w:numId w:val="4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17C6714B" w14:textId="53E39E8D" w:rsidR="00810261" w:rsidRPr="00D409DA" w:rsidRDefault="00466518" w:rsidP="00601D42">
      <w:pPr>
        <w:pStyle w:val="ListParagraph"/>
        <w:numPr>
          <w:ilvl w:val="0"/>
          <w:numId w:val="4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terdokumentasi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dan sahih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terjalinnya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gramStart"/>
      <w:r w:rsidR="00810261" w:rsidRPr="00D409DA">
        <w:rPr>
          <w:rFonts w:ascii="Times New Roman" w:eastAsia="Arial" w:hAnsi="Times New Roman" w:cs="Times New Roman"/>
          <w:i/>
          <w:sz w:val="24"/>
          <w:szCs w:val="24"/>
        </w:rPr>
        <w:t>stakeholder</w:t>
      </w:r>
      <w:r w:rsidR="00810261" w:rsidRPr="00D409DA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internal yang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terprogram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1D8FB37A" w14:textId="4E1D47F0" w:rsidR="00810261" w:rsidRPr="00D409DA" w:rsidRDefault="00466518" w:rsidP="00601D42">
      <w:pPr>
        <w:pStyle w:val="ListParagraph"/>
        <w:numPr>
          <w:ilvl w:val="0"/>
          <w:numId w:val="4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terdokumentasi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dan sahih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telaah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0261" w:rsidRPr="00D409DA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="00810261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3BC0CD69" w14:textId="5674D06A" w:rsidR="00810261" w:rsidRPr="00D409DA" w:rsidRDefault="00810261" w:rsidP="00D409DA">
      <w:pPr>
        <w:spacing w:after="0" w:line="276" w:lineRule="auto"/>
        <w:ind w:left="4"/>
        <w:rPr>
          <w:rFonts w:ascii="Times New Roman" w:hAnsi="Times New Roman" w:cs="Times New Roman"/>
          <w:sz w:val="24"/>
          <w:szCs w:val="24"/>
        </w:rPr>
      </w:pPr>
    </w:p>
    <w:p w14:paraId="21DC26EE" w14:textId="69A54221" w:rsidR="002C600B" w:rsidRPr="00D409DA" w:rsidRDefault="00D45504" w:rsidP="00601D42">
      <w:pPr>
        <w:pStyle w:val="ListParagraph"/>
        <w:numPr>
          <w:ilvl w:val="0"/>
          <w:numId w:val="18"/>
        </w:numPr>
        <w:spacing w:after="0" w:line="276" w:lineRule="auto"/>
        <w:ind w:hanging="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STANDAR </w:t>
      </w:r>
      <w:r w:rsidR="009715B8" w:rsidRPr="00D409DA">
        <w:rPr>
          <w:rFonts w:ascii="Times New Roman" w:hAnsi="Times New Roman" w:cs="Times New Roman"/>
          <w:b/>
          <w:bCs/>
          <w:sz w:val="24"/>
          <w:szCs w:val="24"/>
        </w:rPr>
        <w:t>PENGELOLAAN</w:t>
      </w:r>
    </w:p>
    <w:p w14:paraId="680ACDB3" w14:textId="77777777" w:rsidR="00466518" w:rsidRPr="00D409DA" w:rsidRDefault="00466518" w:rsidP="00601D4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</w:p>
    <w:p w14:paraId="01823D19" w14:textId="6A159727" w:rsidR="00466518" w:rsidRPr="00D409DA" w:rsidRDefault="00EA1D71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5954988B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6E9F3A" w14:textId="77777777" w:rsidR="00466518" w:rsidRPr="00D409DA" w:rsidRDefault="00466518" w:rsidP="00601D4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3ADF6849" w14:textId="1D6D037C" w:rsidR="00466518" w:rsidRPr="00D409DA" w:rsidRDefault="00466518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A1D71" w:rsidRPr="00D409D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proofErr w:type="gram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7A2B709A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B09369" w14:textId="77777777" w:rsidR="00466518" w:rsidRPr="00D409DA" w:rsidRDefault="00466518" w:rsidP="00601D4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lastRenderedPageBreak/>
        <w:t>Ruang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</w:p>
    <w:p w14:paraId="297C0495" w14:textId="6F8BCBDD" w:rsidR="00466518" w:rsidRPr="00D409DA" w:rsidRDefault="00466518" w:rsidP="00CD2240">
      <w:pPr>
        <w:spacing w:after="0" w:line="276" w:lineRule="auto"/>
        <w:ind w:left="2" w:right="97" w:firstLine="718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1)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keberfungsian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:  a)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EA1D71" w:rsidRPr="00D409DA">
        <w:rPr>
          <w:rFonts w:ascii="Times New Roman" w:eastAsia="Arial" w:hAnsi="Times New Roman" w:cs="Times New Roman"/>
          <w:i/>
          <w:sz w:val="24"/>
          <w:szCs w:val="24"/>
        </w:rPr>
        <w:t>(planning)</w:t>
      </w:r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b)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EA1D71" w:rsidRPr="00D409DA">
        <w:rPr>
          <w:rFonts w:ascii="Times New Roman" w:eastAsia="Arial" w:hAnsi="Times New Roman" w:cs="Times New Roman"/>
          <w:i/>
          <w:sz w:val="24"/>
          <w:szCs w:val="24"/>
        </w:rPr>
        <w:t>(organizing),</w:t>
      </w:r>
      <w:r w:rsidR="00EA1D71" w:rsidRPr="00D409DA">
        <w:rPr>
          <w:rFonts w:ascii="Times New Roman" w:hAnsi="Times New Roman" w:cs="Times New Roman"/>
          <w:sz w:val="24"/>
          <w:szCs w:val="24"/>
        </w:rPr>
        <w:t xml:space="preserve">  c)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EA1D71" w:rsidRPr="00D409DA">
        <w:rPr>
          <w:rFonts w:ascii="Times New Roman" w:eastAsia="Arial" w:hAnsi="Times New Roman" w:cs="Times New Roman"/>
          <w:i/>
          <w:sz w:val="24"/>
          <w:szCs w:val="24"/>
        </w:rPr>
        <w:t>(staffing),</w:t>
      </w:r>
      <w:r w:rsidR="00EA1D71" w:rsidRPr="00D409DA">
        <w:rPr>
          <w:rFonts w:ascii="Times New Roman" w:hAnsi="Times New Roman" w:cs="Times New Roman"/>
          <w:sz w:val="24"/>
          <w:szCs w:val="24"/>
        </w:rPr>
        <w:t xml:space="preserve">  d)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EA1D71" w:rsidRPr="00D409DA">
        <w:rPr>
          <w:rFonts w:ascii="Times New Roman" w:eastAsia="Arial" w:hAnsi="Times New Roman" w:cs="Times New Roman"/>
          <w:i/>
          <w:sz w:val="24"/>
          <w:szCs w:val="24"/>
        </w:rPr>
        <w:t>(leading),</w:t>
      </w:r>
      <w:r w:rsidR="00EA1D71" w:rsidRPr="00D409DA">
        <w:rPr>
          <w:rFonts w:ascii="Times New Roman" w:hAnsi="Times New Roman" w:cs="Times New Roman"/>
          <w:sz w:val="24"/>
          <w:szCs w:val="24"/>
        </w:rPr>
        <w:t xml:space="preserve"> dan  e)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EA1D71" w:rsidRPr="00D409DA">
        <w:rPr>
          <w:rFonts w:ascii="Times New Roman" w:eastAsia="Arial" w:hAnsi="Times New Roman" w:cs="Times New Roman"/>
          <w:i/>
          <w:sz w:val="24"/>
          <w:szCs w:val="24"/>
        </w:rPr>
        <w:t>(controlling)</w:t>
      </w:r>
      <w:r w:rsidRPr="00D409DA"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formal dan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:  a)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b)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c)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d)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e)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PkM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f) SDM,  g)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h)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j)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dan  k)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yang sahih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:  :  a)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b)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c)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d)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e)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PkM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f) SDM,  g)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h)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j)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dan  k)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</w:t>
      </w:r>
      <w:r w:rsidR="00A35FC5" w:rsidRPr="00D409DA">
        <w:rPr>
          <w:rFonts w:ascii="Times New Roman" w:hAnsi="Times New Roman" w:cs="Times New Roman"/>
          <w:sz w:val="24"/>
          <w:szCs w:val="24"/>
        </w:rPr>
        <w:t xml:space="preserve">dan </w:t>
      </w:r>
      <w:r w:rsidR="00EA1D71" w:rsidRPr="00D409DA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:  a)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b)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renstra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c)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VMTS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 d)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, dan  e)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oleh organ yang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A1D7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71" w:rsidRPr="00D409DA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0F4C1F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6118CA4E" w14:textId="77777777" w:rsidR="00EA2888" w:rsidRPr="00D409DA" w:rsidRDefault="00EA2888" w:rsidP="00D409DA">
      <w:pPr>
        <w:spacing w:after="0" w:line="276" w:lineRule="auto"/>
        <w:ind w:left="2" w:right="97"/>
        <w:rPr>
          <w:rFonts w:ascii="Times New Roman" w:hAnsi="Times New Roman" w:cs="Times New Roman"/>
          <w:sz w:val="24"/>
          <w:szCs w:val="24"/>
        </w:rPr>
      </w:pPr>
    </w:p>
    <w:p w14:paraId="6DCCC3FE" w14:textId="08B9B5C6" w:rsidR="00A35FC5" w:rsidRPr="00D409DA" w:rsidRDefault="00A35FC5" w:rsidP="00601D4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D2C36" w:rsidRPr="00D409DA">
        <w:rPr>
          <w:rFonts w:ascii="Times New Roman" w:hAnsi="Times New Roman" w:cs="Times New Roman"/>
          <w:b/>
          <w:bCs/>
          <w:sz w:val="24"/>
          <w:szCs w:val="24"/>
        </w:rPr>
        <w:t>Pengelolaan</w:t>
      </w:r>
      <w:proofErr w:type="spellEnd"/>
    </w:p>
    <w:p w14:paraId="574A0AE0" w14:textId="4BDDDBC9" w:rsidR="002C600B" w:rsidRPr="00D409DA" w:rsidRDefault="00A35FC5" w:rsidP="00601D4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keberfungsian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6EF141E6" w14:textId="34A3264F" w:rsidR="002C600B" w:rsidRPr="00D409DA" w:rsidRDefault="00A35FC5" w:rsidP="00601D4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formal dan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</w:p>
    <w:p w14:paraId="065B290A" w14:textId="3E0A09AF" w:rsidR="002C600B" w:rsidRPr="00D409DA" w:rsidRDefault="00A35FC5" w:rsidP="00601D4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yang sahih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1174464E" w14:textId="0CDCE64C" w:rsidR="002C600B" w:rsidRPr="00D409DA" w:rsidRDefault="00A35FC5" w:rsidP="00601D4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persetujuannya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benchmark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00B" w:rsidRPr="00D409D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2C600B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0EA33860" w14:textId="77777777" w:rsidR="00D409DA" w:rsidRPr="00D409DA" w:rsidRDefault="00D409DA" w:rsidP="00D409DA">
      <w:pPr>
        <w:spacing w:after="0" w:line="276" w:lineRule="auto"/>
        <w:ind w:left="4"/>
        <w:rPr>
          <w:rFonts w:ascii="Times New Roman" w:hAnsi="Times New Roman" w:cs="Times New Roman"/>
          <w:sz w:val="24"/>
          <w:szCs w:val="24"/>
        </w:rPr>
      </w:pPr>
    </w:p>
    <w:p w14:paraId="435CBAC5" w14:textId="03E6E201" w:rsidR="002C600B" w:rsidRPr="00D409DA" w:rsidRDefault="00D45504" w:rsidP="00601D42">
      <w:pPr>
        <w:pStyle w:val="ListParagraph"/>
        <w:numPr>
          <w:ilvl w:val="0"/>
          <w:numId w:val="18"/>
        </w:numPr>
        <w:spacing w:after="0" w:line="276" w:lineRule="auto"/>
        <w:ind w:hanging="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STANDAR </w:t>
      </w:r>
      <w:r w:rsidR="009715B8" w:rsidRPr="00D409DA">
        <w:rPr>
          <w:rFonts w:ascii="Times New Roman" w:hAnsi="Times New Roman" w:cs="Times New Roman"/>
          <w:b/>
          <w:bCs/>
          <w:sz w:val="24"/>
          <w:szCs w:val="24"/>
        </w:rPr>
        <w:t>SISTEM PENJAMINAN MUTU</w:t>
      </w:r>
    </w:p>
    <w:p w14:paraId="5B83495C" w14:textId="77777777" w:rsidR="00A35FC5" w:rsidRPr="00D409DA" w:rsidRDefault="00A35FC5" w:rsidP="00601D4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</w:p>
    <w:p w14:paraId="56A22843" w14:textId="0F15F745" w:rsidR="00A35FC5" w:rsidRPr="00D409DA" w:rsidRDefault="00F94AFE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A35FC5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C5" w:rsidRPr="00D409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35FC5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sistemik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A35FC5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58BBB8E1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EF6403" w14:textId="77777777" w:rsidR="00A35FC5" w:rsidRPr="00D409DA" w:rsidRDefault="00A35FC5" w:rsidP="00601D4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6BDCA07A" w14:textId="34B06D06" w:rsidR="00A35FC5" w:rsidRPr="00D409DA" w:rsidRDefault="00A35FC5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Negeri Malang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6F535E7C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055CEA" w14:textId="77777777" w:rsidR="00A35FC5" w:rsidRPr="00D409DA" w:rsidRDefault="00A35FC5" w:rsidP="00601D4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</w:p>
    <w:p w14:paraId="0ACA2267" w14:textId="3CCD54E5" w:rsidR="00A35FC5" w:rsidRPr="00D409DA" w:rsidRDefault="00A35FC5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1)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formal SPMI yang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>:  a) organ/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SPMI, b)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, c) auditor internal,  d)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audit, dan e)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Pr="00D409D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yang sahih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AFE" w:rsidRPr="00D409D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F94AFE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2C3E9F72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966F09" w14:textId="73A7E585" w:rsidR="00A35FC5" w:rsidRPr="00D409DA" w:rsidRDefault="00A35FC5" w:rsidP="00601D4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6407" w:rsidRPr="00D409DA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="00226407"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6407" w:rsidRPr="00D409DA">
        <w:rPr>
          <w:rFonts w:ascii="Times New Roman" w:hAnsi="Times New Roman" w:cs="Times New Roman"/>
          <w:b/>
          <w:bCs/>
          <w:sz w:val="24"/>
          <w:szCs w:val="24"/>
        </w:rPr>
        <w:t>Penjaminan</w:t>
      </w:r>
      <w:proofErr w:type="spellEnd"/>
      <w:r w:rsidR="00226407"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6407" w:rsidRPr="00D409DA">
        <w:rPr>
          <w:rFonts w:ascii="Times New Roman" w:hAnsi="Times New Roman" w:cs="Times New Roman"/>
          <w:b/>
          <w:bCs/>
          <w:sz w:val="24"/>
          <w:szCs w:val="24"/>
        </w:rPr>
        <w:t>Mutu</w:t>
      </w:r>
      <w:proofErr w:type="spellEnd"/>
    </w:p>
    <w:p w14:paraId="3005C52E" w14:textId="3F88D517" w:rsidR="00614609" w:rsidRPr="00D409DA" w:rsidRDefault="00F94AFE" w:rsidP="00601D42">
      <w:pPr>
        <w:pStyle w:val="ListParagraph"/>
        <w:numPr>
          <w:ilvl w:val="0"/>
          <w:numId w:val="8"/>
        </w:numPr>
        <w:spacing w:after="0" w:line="276" w:lineRule="auto"/>
        <w:ind w:right="48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SPMI yang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SN-DIKTI, </w:t>
      </w:r>
      <w:proofErr w:type="gramStart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dan 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proofErr w:type="gram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SPMI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(</w:t>
      </w:r>
      <w:r w:rsidR="00614609" w:rsidRPr="00D409DA">
        <w:rPr>
          <w:rFonts w:ascii="Times New Roman" w:eastAsia="Arial" w:hAnsi="Times New Roman" w:cs="Times New Roman"/>
          <w:i/>
          <w:sz w:val="24"/>
          <w:szCs w:val="24"/>
        </w:rPr>
        <w:t>Risk Based Audit</w:t>
      </w:r>
      <w:r w:rsidR="00614609" w:rsidRPr="00D409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0D9BCE5E" w14:textId="2F2BBB00" w:rsidR="00614609" w:rsidRPr="00D409DA" w:rsidRDefault="00F94AFE" w:rsidP="00601D42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</w:t>
      </w:r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yang sahih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RTM (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614609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4609" w:rsidRPr="00D409DA">
        <w:rPr>
          <w:rFonts w:ascii="Times New Roman" w:hAnsi="Times New Roman" w:cs="Times New Roman"/>
          <w:sz w:val="24"/>
          <w:szCs w:val="24"/>
        </w:rPr>
        <w:t>kredibel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0356F196" w14:textId="77777777" w:rsidR="00590367" w:rsidRPr="00D409DA" w:rsidRDefault="00590367" w:rsidP="00D409DA">
      <w:pPr>
        <w:spacing w:after="0" w:line="276" w:lineRule="auto"/>
        <w:ind w:left="5"/>
        <w:rPr>
          <w:rFonts w:ascii="Times New Roman" w:hAnsi="Times New Roman" w:cs="Times New Roman"/>
          <w:sz w:val="24"/>
          <w:szCs w:val="24"/>
        </w:rPr>
      </w:pPr>
    </w:p>
    <w:p w14:paraId="6FA7BBA7" w14:textId="4B78F710" w:rsidR="00DD5C64" w:rsidRPr="00D409DA" w:rsidRDefault="00D45504" w:rsidP="00601D42">
      <w:pPr>
        <w:pStyle w:val="ListParagraph"/>
        <w:numPr>
          <w:ilvl w:val="0"/>
          <w:numId w:val="18"/>
        </w:numPr>
        <w:spacing w:after="0" w:line="276" w:lineRule="auto"/>
        <w:ind w:hanging="1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STANDAR </w:t>
      </w:r>
      <w:r w:rsidR="009715B8" w:rsidRPr="00D409DA">
        <w:rPr>
          <w:rFonts w:ascii="Times New Roman" w:hAnsi="Times New Roman" w:cs="Times New Roman"/>
          <w:b/>
          <w:bCs/>
          <w:sz w:val="24"/>
          <w:szCs w:val="24"/>
        </w:rPr>
        <w:t>AKREDITASI PROGRAM STUDI</w:t>
      </w:r>
    </w:p>
    <w:p w14:paraId="667A7736" w14:textId="77777777" w:rsidR="0008606B" w:rsidRPr="00D409DA" w:rsidRDefault="0008606B" w:rsidP="00601D42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</w:p>
    <w:p w14:paraId="033C5093" w14:textId="7977B27A" w:rsidR="0008606B" w:rsidRPr="00D409DA" w:rsidRDefault="0008606B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UM yang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0006D8E7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EBD7D7" w14:textId="77777777" w:rsidR="0008606B" w:rsidRPr="00D409DA" w:rsidRDefault="0008606B" w:rsidP="00601D42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61C4350A" w14:textId="21BBBCA8" w:rsidR="0008606B" w:rsidRPr="00D409DA" w:rsidRDefault="0008606B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3A414F5A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339A9F" w14:textId="77777777" w:rsidR="0008606B" w:rsidRPr="00D409DA" w:rsidRDefault="0008606B" w:rsidP="00601D42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</w:p>
    <w:p w14:paraId="39BFA55F" w14:textId="768DFA65" w:rsidR="0008606B" w:rsidRPr="00D409DA" w:rsidRDefault="0008606B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 w:rsidRPr="00D409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bereputasi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dan 2)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(salah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BAN-PT)</w:t>
      </w:r>
    </w:p>
    <w:p w14:paraId="3FCBF891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374D44" w14:textId="3FF4FB18" w:rsidR="0008606B" w:rsidRPr="00D409DA" w:rsidRDefault="0008606B" w:rsidP="00601D42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Akreditasi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Studi</w:t>
      </w:r>
      <w:proofErr w:type="spellEnd"/>
    </w:p>
    <w:p w14:paraId="51DDD2EF" w14:textId="3BB71C1A" w:rsidR="00DD5C64" w:rsidRPr="00D409DA" w:rsidRDefault="0008606B" w:rsidP="00601D42">
      <w:pPr>
        <w:pStyle w:val="ListParagraph"/>
        <w:numPr>
          <w:ilvl w:val="2"/>
          <w:numId w:val="1"/>
        </w:numPr>
        <w:spacing w:after="0" w:line="276" w:lineRule="auto"/>
        <w:ind w:left="364" w:right="90" w:hanging="3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bereputasi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64" w:rsidRPr="00D409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D5C64" w:rsidRPr="00D409DA">
        <w:rPr>
          <w:rFonts w:ascii="Times New Roman" w:hAnsi="Times New Roman" w:cs="Times New Roman"/>
          <w:sz w:val="24"/>
          <w:szCs w:val="24"/>
        </w:rPr>
        <w:t xml:space="preserve"> 5%.</w:t>
      </w:r>
    </w:p>
    <w:p w14:paraId="50641068" w14:textId="77777777" w:rsidR="00590367" w:rsidRPr="00D409DA" w:rsidRDefault="00590367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</w:p>
    <w:p w14:paraId="43002F73" w14:textId="0BE440A5" w:rsidR="00590367" w:rsidRPr="00D409DA" w:rsidRDefault="008A38B0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memp</w:t>
      </w:r>
      <w:r w:rsidR="00590367" w:rsidRPr="00D409DA">
        <w:rPr>
          <w:rFonts w:ascii="Times New Roman" w:hAnsi="Times New Roman" w:cs="Times New Roman"/>
          <w:sz w:val="24"/>
          <w:szCs w:val="24"/>
        </w:rPr>
        <w:t>eroleh</w:t>
      </w:r>
      <w:proofErr w:type="spellEnd"/>
      <w:r w:rsidR="00590367" w:rsidRPr="00D409DA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590367" w:rsidRPr="00D409DA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="00590367"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590367"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590367" w:rsidRPr="00D409DA">
        <w:rPr>
          <w:rFonts w:ascii="Times New Roman" w:hAnsi="Times New Roman" w:cs="Times New Roman"/>
          <w:sz w:val="24"/>
          <w:szCs w:val="24"/>
        </w:rPr>
        <w:t xml:space="preserve"> oleh BAN-PT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SA</w:t>
      </w:r>
      <w:r w:rsidRPr="00D409DA">
        <w:rPr>
          <w:rFonts w:ascii="Times New Roman" w:hAnsi="Times New Roman" w:cs="Times New Roman"/>
          <w:sz w:val="24"/>
          <w:szCs w:val="24"/>
        </w:rPr>
        <w:t xml:space="preserve"> ≥ 3,5.</w:t>
      </w:r>
    </w:p>
    <w:p w14:paraId="70DCE5F1" w14:textId="26B66FC7" w:rsidR="00590367" w:rsidRDefault="00590367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  <w:vertAlign w:val="subscript"/>
        </w:rPr>
      </w:pPr>
      <w:r w:rsidRPr="00D409DA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SA</w:t>
      </w:r>
      <w:r w:rsidRPr="00D409DA">
        <w:rPr>
          <w:rFonts w:ascii="Times New Roman" w:hAnsi="Times New Roman" w:cs="Times New Roman"/>
          <w:sz w:val="24"/>
          <w:szCs w:val="24"/>
        </w:rPr>
        <w:t xml:space="preserve"> = (4 x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Unggul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+ 3,5 x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D409DA">
        <w:rPr>
          <w:rFonts w:ascii="Times New Roman" w:hAnsi="Times New Roman" w:cs="Times New Roman"/>
          <w:sz w:val="24"/>
          <w:szCs w:val="24"/>
        </w:rPr>
        <w:t xml:space="preserve"> + 3 x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Baik_Sekali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+ 2,5 x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D409DA">
        <w:rPr>
          <w:rFonts w:ascii="Times New Roman" w:hAnsi="Times New Roman" w:cs="Times New Roman"/>
          <w:sz w:val="24"/>
          <w:szCs w:val="24"/>
        </w:rPr>
        <w:t xml:space="preserve"> + 2 x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Baik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+ 1,5 x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D409DA">
        <w:rPr>
          <w:rFonts w:ascii="Times New Roman" w:hAnsi="Times New Roman" w:cs="Times New Roman"/>
          <w:sz w:val="24"/>
          <w:szCs w:val="24"/>
        </w:rPr>
        <w:t xml:space="preserve"> + 1,5 x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D409DA">
        <w:rPr>
          <w:rFonts w:ascii="Times New Roman" w:hAnsi="Times New Roman" w:cs="Times New Roman"/>
          <w:sz w:val="24"/>
          <w:szCs w:val="24"/>
        </w:rPr>
        <w:t>) /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PS</w:t>
      </w:r>
    </w:p>
    <w:p w14:paraId="3FEAE1E9" w14:textId="2C7B569C" w:rsidR="00D409DA" w:rsidRPr="00D409DA" w:rsidRDefault="00D409DA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:</w:t>
      </w:r>
    </w:p>
    <w:p w14:paraId="71CE2FFA" w14:textId="739D887A" w:rsidR="00590367" w:rsidRPr="00D409DA" w:rsidRDefault="00590367" w:rsidP="00D409DA">
      <w:pPr>
        <w:tabs>
          <w:tab w:val="left" w:pos="993"/>
        </w:tabs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Unggul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13757F" w14:textId="5E61B09E" w:rsidR="00590367" w:rsidRPr="00D409DA" w:rsidRDefault="00590367" w:rsidP="00D409DA">
      <w:pPr>
        <w:tabs>
          <w:tab w:val="left" w:pos="993"/>
        </w:tabs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Baik_Sekali</w:t>
      </w:r>
      <w:proofErr w:type="spellEnd"/>
      <w:r w:rsidR="00543856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8F3D5D" w14:textId="26097938" w:rsidR="00590367" w:rsidRPr="00D409DA" w:rsidRDefault="00590367" w:rsidP="00D409DA">
      <w:pPr>
        <w:tabs>
          <w:tab w:val="left" w:pos="993"/>
        </w:tabs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Baik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31E369" w14:textId="547C2432" w:rsidR="00590367" w:rsidRPr="00D409DA" w:rsidRDefault="00590367" w:rsidP="00D409DA">
      <w:pPr>
        <w:tabs>
          <w:tab w:val="left" w:pos="993"/>
        </w:tabs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A. </w:t>
      </w:r>
    </w:p>
    <w:p w14:paraId="51EE300D" w14:textId="39857D9D" w:rsidR="00590367" w:rsidRPr="00D409DA" w:rsidRDefault="00590367" w:rsidP="00D409DA">
      <w:pPr>
        <w:tabs>
          <w:tab w:val="left" w:pos="993"/>
        </w:tabs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B. </w:t>
      </w:r>
    </w:p>
    <w:p w14:paraId="39B634B2" w14:textId="5130B5A5" w:rsidR="00590367" w:rsidRPr="00D409DA" w:rsidRDefault="00590367" w:rsidP="00D409DA">
      <w:pPr>
        <w:tabs>
          <w:tab w:val="left" w:pos="993"/>
        </w:tabs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C. </w:t>
      </w:r>
    </w:p>
    <w:p w14:paraId="38BF18F2" w14:textId="77777777" w:rsidR="00D409DA" w:rsidRDefault="00590367" w:rsidP="00D409DA">
      <w:pPr>
        <w:tabs>
          <w:tab w:val="left" w:pos="993"/>
        </w:tabs>
        <w:spacing w:after="0" w:line="276" w:lineRule="auto"/>
        <w:ind w:left="1190" w:right="1648" w:hanging="1188"/>
        <w:rPr>
          <w:rFonts w:ascii="Times New Roman" w:hAnsi="Times New Roman" w:cs="Times New Roman"/>
          <w:sz w:val="24"/>
          <w:szCs w:val="24"/>
        </w:rPr>
      </w:pPr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minimum (program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).</w:t>
      </w:r>
    </w:p>
    <w:p w14:paraId="1E105F91" w14:textId="162CC8B8" w:rsidR="00590367" w:rsidRPr="00D409DA" w:rsidRDefault="00590367" w:rsidP="00D409DA">
      <w:pPr>
        <w:tabs>
          <w:tab w:val="left" w:pos="993"/>
        </w:tabs>
        <w:spacing w:after="0" w:line="276" w:lineRule="auto"/>
        <w:ind w:left="1190" w:right="1648" w:hanging="1188"/>
        <w:rPr>
          <w:rFonts w:ascii="Times New Roman" w:hAnsi="Times New Roman" w:cs="Times New Roman"/>
          <w:sz w:val="24"/>
          <w:szCs w:val="24"/>
        </w:rPr>
      </w:pPr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kadaluarsa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C9D96" w14:textId="4F1CF54A" w:rsidR="00590367" w:rsidRPr="00D409DA" w:rsidRDefault="00590367" w:rsidP="00D409DA">
      <w:pPr>
        <w:tabs>
          <w:tab w:val="left" w:pos="993"/>
        </w:tabs>
        <w:spacing w:after="0" w:line="276" w:lineRule="auto"/>
        <w:ind w:left="1190" w:hanging="1188"/>
        <w:rPr>
          <w:rFonts w:ascii="Times New Roman" w:hAnsi="Times New Roman" w:cs="Times New Roman"/>
          <w:sz w:val="24"/>
          <w:szCs w:val="24"/>
        </w:rPr>
      </w:pPr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PS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Unggul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+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D409D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Baik_Sekali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+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D409D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Baik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+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D409DA">
        <w:rPr>
          <w:rFonts w:ascii="Times New Roman" w:hAnsi="Times New Roman" w:cs="Times New Roman"/>
          <w:sz w:val="24"/>
          <w:szCs w:val="24"/>
        </w:rPr>
        <w:t>+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D409DA">
        <w:rPr>
          <w:rFonts w:ascii="Times New Roman" w:hAnsi="Times New Roman" w:cs="Times New Roman"/>
          <w:sz w:val="24"/>
          <w:szCs w:val="24"/>
        </w:rPr>
        <w:t>+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Pr="00D409DA">
        <w:rPr>
          <w:rFonts w:ascii="Times New Roman" w:hAnsi="Times New Roman" w:cs="Times New Roman"/>
          <w:sz w:val="24"/>
          <w:szCs w:val="24"/>
        </w:rPr>
        <w:t>).</w:t>
      </w:r>
    </w:p>
    <w:p w14:paraId="32815A98" w14:textId="277D3503" w:rsidR="00590367" w:rsidRPr="00D409DA" w:rsidRDefault="00590367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</w:p>
    <w:p w14:paraId="515BAB0A" w14:textId="7AAAEB37" w:rsidR="00072E69" w:rsidRPr="00D409DA" w:rsidRDefault="00D45504" w:rsidP="00601D42">
      <w:pPr>
        <w:pStyle w:val="ListParagraph"/>
        <w:numPr>
          <w:ilvl w:val="0"/>
          <w:numId w:val="18"/>
        </w:numPr>
        <w:spacing w:after="0" w:line="276" w:lineRule="auto"/>
        <w:ind w:hanging="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STANDAR </w:t>
      </w:r>
      <w:r w:rsidR="009715B8" w:rsidRPr="00D409DA">
        <w:rPr>
          <w:rFonts w:ascii="Times New Roman" w:hAnsi="Times New Roman" w:cs="Times New Roman"/>
          <w:b/>
          <w:bCs/>
          <w:sz w:val="24"/>
          <w:szCs w:val="24"/>
        </w:rPr>
        <w:t>AUDIT EKSTERNAL KEUANGAN.</w:t>
      </w:r>
    </w:p>
    <w:p w14:paraId="64B332B5" w14:textId="77777777" w:rsidR="0008606B" w:rsidRPr="00D409DA" w:rsidRDefault="0008606B" w:rsidP="00601D42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</w:p>
    <w:p w14:paraId="49AD337A" w14:textId="0F0BA088" w:rsidR="0008606B" w:rsidRPr="00D409DA" w:rsidRDefault="0008606B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09DA">
        <w:rPr>
          <w:rFonts w:ascii="Times New Roman" w:hAnsi="Times New Roman" w:cs="Times New Roman"/>
          <w:sz w:val="24"/>
          <w:szCs w:val="24"/>
        </w:rPr>
        <w:t xml:space="preserve">Audit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Negeri Malang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negara</w:t>
      </w:r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4C1A2A51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9CB47A" w14:textId="77777777" w:rsidR="0008606B" w:rsidRPr="00D409DA" w:rsidRDefault="0008606B" w:rsidP="00601D42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5AC46809" w14:textId="22D64603" w:rsidR="0008606B" w:rsidRPr="00D409DA" w:rsidRDefault="0008606B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Negeri Malang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negara</w:t>
      </w:r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114899BD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D8188E" w14:textId="77777777" w:rsidR="0008606B" w:rsidRPr="00D409DA" w:rsidRDefault="0008606B" w:rsidP="00601D42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</w:p>
    <w:p w14:paraId="1E4C4A76" w14:textId="4D51C4D7" w:rsidR="008A38B0" w:rsidRPr="00D409DA" w:rsidRDefault="0008606B" w:rsidP="00CD2240">
      <w:pPr>
        <w:spacing w:after="0" w:line="276" w:lineRule="auto"/>
        <w:ind w:left="2" w:firstLine="718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Jenis</w:t>
      </w:r>
      <w:proofErr w:type="spellEnd"/>
      <w:proofErr w:type="gram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A38B0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8A38B0" w:rsidRPr="00D409DA">
        <w:rPr>
          <w:rFonts w:ascii="Times New Roman" w:hAnsi="Times New Roman" w:cs="Times New Roman"/>
          <w:sz w:val="24"/>
          <w:szCs w:val="24"/>
        </w:rPr>
        <w:t xml:space="preserve"> Negeri Malang.</w:t>
      </w:r>
    </w:p>
    <w:p w14:paraId="6C32E004" w14:textId="293EA76D" w:rsidR="0008606B" w:rsidRPr="00D409DA" w:rsidRDefault="0008606B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9FCE1E" w14:textId="4B045C15" w:rsidR="0008606B" w:rsidRPr="00D409DA" w:rsidRDefault="0008606B" w:rsidP="00601D42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Audit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Eksternal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Keuangan</w:t>
      </w:r>
      <w:proofErr w:type="spellEnd"/>
    </w:p>
    <w:p w14:paraId="27175E81" w14:textId="59808200" w:rsidR="00590367" w:rsidRPr="00D409DA" w:rsidRDefault="008A38B0" w:rsidP="00CD2240">
      <w:pPr>
        <w:spacing w:after="0" w:line="276" w:lineRule="auto"/>
        <w:ind w:left="2" w:right="57" w:firstLine="718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keuagan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agar </w:t>
      </w:r>
      <w:r w:rsidR="00590367" w:rsidRPr="00D409DA">
        <w:rPr>
          <w:rFonts w:ascii="Times New Roman" w:hAnsi="Times New Roman" w:cs="Times New Roman"/>
          <w:sz w:val="24"/>
          <w:szCs w:val="24"/>
        </w:rPr>
        <w:t xml:space="preserve">Audit </w:t>
      </w:r>
      <w:proofErr w:type="spellStart"/>
      <w:r w:rsidR="00590367" w:rsidRPr="00D409D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590367"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Pr="00D409D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590367" w:rsidRPr="00D409D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90367" w:rsidRPr="00D409DA">
        <w:rPr>
          <w:rFonts w:ascii="Times New Roman" w:hAnsi="Times New Roman" w:cs="Times New Roman"/>
          <w:sz w:val="24"/>
          <w:szCs w:val="24"/>
        </w:rPr>
        <w:t xml:space="preserve"> oleh Kantor </w:t>
      </w:r>
      <w:proofErr w:type="spellStart"/>
      <w:r w:rsidR="00590367" w:rsidRPr="00D409DA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="0059036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367" w:rsidRPr="00D409D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59036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bero</w:t>
      </w:r>
      <w:r w:rsidR="00590367" w:rsidRPr="00D409DA">
        <w:rPr>
          <w:rFonts w:ascii="Times New Roman" w:hAnsi="Times New Roman" w:cs="Times New Roman"/>
          <w:sz w:val="24"/>
          <w:szCs w:val="24"/>
        </w:rPr>
        <w:t>pini</w:t>
      </w:r>
      <w:proofErr w:type="spellEnd"/>
      <w:r w:rsidR="0059036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367" w:rsidRPr="00D409DA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="0059036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367" w:rsidRPr="00D409D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59036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367" w:rsidRPr="00D409DA">
        <w:rPr>
          <w:rFonts w:ascii="Times New Roman" w:hAnsi="Times New Roman" w:cs="Times New Roman"/>
          <w:sz w:val="24"/>
          <w:szCs w:val="24"/>
        </w:rPr>
        <w:t>Pengecualian</w:t>
      </w:r>
      <w:proofErr w:type="spellEnd"/>
      <w:r w:rsidR="00590367" w:rsidRPr="00D409DA">
        <w:rPr>
          <w:rFonts w:ascii="Times New Roman" w:hAnsi="Times New Roman" w:cs="Times New Roman"/>
          <w:sz w:val="24"/>
          <w:szCs w:val="24"/>
        </w:rPr>
        <w:t xml:space="preserve"> (</w:t>
      </w:r>
      <w:r w:rsidR="00590367" w:rsidRPr="00D409DA">
        <w:rPr>
          <w:rFonts w:ascii="Times New Roman" w:eastAsia="Arial" w:hAnsi="Times New Roman" w:cs="Times New Roman"/>
          <w:i/>
          <w:sz w:val="24"/>
          <w:szCs w:val="24"/>
        </w:rPr>
        <w:t>Unqualified Opinion</w:t>
      </w:r>
      <w:r w:rsidR="00590367" w:rsidRPr="00D409DA">
        <w:rPr>
          <w:rFonts w:ascii="Times New Roman" w:hAnsi="Times New Roman" w:cs="Times New Roman"/>
          <w:sz w:val="24"/>
          <w:szCs w:val="24"/>
        </w:rPr>
        <w:t>).</w:t>
      </w:r>
    </w:p>
    <w:p w14:paraId="4E0C0FCE" w14:textId="3FC726BB" w:rsidR="009747B7" w:rsidRPr="00D409DA" w:rsidRDefault="009747B7" w:rsidP="00D409DA">
      <w:pPr>
        <w:spacing w:after="0" w:line="276" w:lineRule="auto"/>
        <w:ind w:left="2" w:right="57"/>
        <w:rPr>
          <w:rFonts w:ascii="Times New Roman" w:hAnsi="Times New Roman" w:cs="Times New Roman"/>
          <w:sz w:val="24"/>
          <w:szCs w:val="24"/>
        </w:rPr>
      </w:pPr>
    </w:p>
    <w:p w14:paraId="5625A60E" w14:textId="0A0E84FC" w:rsidR="009747B7" w:rsidRPr="00D409DA" w:rsidRDefault="00D45504" w:rsidP="00601D42">
      <w:pPr>
        <w:pStyle w:val="ListParagraph"/>
        <w:numPr>
          <w:ilvl w:val="0"/>
          <w:numId w:val="18"/>
        </w:numPr>
        <w:tabs>
          <w:tab w:val="left" w:pos="567"/>
        </w:tabs>
        <w:spacing w:after="0" w:line="276" w:lineRule="auto"/>
        <w:ind w:firstLine="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STANDAR </w:t>
      </w:r>
      <w:r w:rsidR="009715B8" w:rsidRPr="00D409DA">
        <w:rPr>
          <w:rFonts w:ascii="Times New Roman" w:hAnsi="Times New Roman" w:cs="Times New Roman"/>
          <w:b/>
          <w:bCs/>
          <w:sz w:val="24"/>
          <w:szCs w:val="24"/>
        </w:rPr>
        <w:t>KERJASAMA</w:t>
      </w:r>
    </w:p>
    <w:p w14:paraId="752B863D" w14:textId="77777777" w:rsidR="00FF0253" w:rsidRPr="00D409DA" w:rsidRDefault="00FF0253" w:rsidP="00601D42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</w:p>
    <w:p w14:paraId="21C9B7B1" w14:textId="63A9CA2D" w:rsidR="00FF0253" w:rsidRPr="00D409DA" w:rsidRDefault="00FF0253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Negeri Malang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03BE086D" w14:textId="64C1883F" w:rsidR="00EA2888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94B379" w14:textId="36B619F3" w:rsidR="00543856" w:rsidRDefault="00543856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0E55D3" w14:textId="77777777" w:rsidR="00543856" w:rsidRPr="00D409DA" w:rsidRDefault="00543856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98B992" w14:textId="77777777" w:rsidR="00FF0253" w:rsidRPr="00D409DA" w:rsidRDefault="00FF0253" w:rsidP="00601D42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lastRenderedPageBreak/>
        <w:t>Tujuan</w:t>
      </w:r>
      <w:proofErr w:type="spellEnd"/>
    </w:p>
    <w:p w14:paraId="4813FFB0" w14:textId="2C55FC8A" w:rsidR="00FF0253" w:rsidRPr="00D409DA" w:rsidRDefault="00FF0253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430723" w:rsidRPr="00D409DA"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Lembaga yang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diajak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79C603C9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44E11F" w14:textId="77777777" w:rsidR="00FF0253" w:rsidRPr="00D409DA" w:rsidRDefault="00FF0253" w:rsidP="00601D42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</w:p>
    <w:p w14:paraId="3EB3AA15" w14:textId="77777777" w:rsidR="008E103D" w:rsidRPr="00D409DA" w:rsidRDefault="00FF0253" w:rsidP="00CD2240">
      <w:pPr>
        <w:spacing w:after="0" w:line="276" w:lineRule="auto"/>
        <w:ind w:left="4" w:right="44" w:firstLine="716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1)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negeri), dan monitoring dan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, </w:t>
      </w:r>
      <w:r w:rsidRPr="00D409D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kebermanfaatan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723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30723" w:rsidRPr="00D409DA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yang sahih,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D4876" w14:textId="3C8C2510" w:rsidR="00FF0253" w:rsidRPr="00D409DA" w:rsidRDefault="008E103D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ketercapaian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6776B824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51CDC7" w14:textId="3C0B4A29" w:rsidR="00FF0253" w:rsidRPr="00D409DA" w:rsidRDefault="00FF0253" w:rsidP="00601D42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Kerjasama</w:t>
      </w:r>
      <w:proofErr w:type="spellEnd"/>
    </w:p>
    <w:p w14:paraId="5FF2039E" w14:textId="6332C6E2" w:rsidR="009747B7" w:rsidRPr="00D409DA" w:rsidRDefault="008E103D" w:rsidP="00601D42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negeri)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5E98142A" w14:textId="087AC562" w:rsidR="009747B7" w:rsidRPr="00D409DA" w:rsidRDefault="008E103D" w:rsidP="00601D42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yang sahih dan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7B7"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9747B7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69FD6C05" w14:textId="096540DD" w:rsidR="00C96C08" w:rsidRPr="00BA6862" w:rsidRDefault="008E103D" w:rsidP="00601D42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86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BA6862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BA6862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BA6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86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A6862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VMTS dan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tridharma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/wilayah,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6C08" w:rsidRPr="00BA686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96C08" w:rsidRPr="00BA6862">
        <w:rPr>
          <w:rFonts w:ascii="Times New Roman" w:hAnsi="Times New Roman" w:cs="Times New Roman"/>
          <w:sz w:val="24"/>
          <w:szCs w:val="24"/>
        </w:rPr>
        <w:t>.</w:t>
      </w:r>
    </w:p>
    <w:p w14:paraId="79DAED40" w14:textId="0A157B8D" w:rsidR="00C96C08" w:rsidRPr="00D409DA" w:rsidRDefault="008E103D" w:rsidP="00601D42">
      <w:pPr>
        <w:pStyle w:val="ListParagraph"/>
        <w:numPr>
          <w:ilvl w:val="0"/>
          <w:numId w:val="10"/>
        </w:numPr>
        <w:spacing w:after="0" w:line="276" w:lineRule="auto"/>
        <w:ind w:right="42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yang sahih,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terlaksananya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449470BC" w14:textId="1C3266E2" w:rsidR="00C96C08" w:rsidRPr="00D409DA" w:rsidRDefault="00B426A4" w:rsidP="00601D42">
      <w:pPr>
        <w:pStyle w:val="ListParagraph"/>
        <w:numPr>
          <w:ilvl w:val="0"/>
          <w:numId w:val="10"/>
        </w:numPr>
        <w:spacing w:after="0" w:line="276" w:lineRule="auto"/>
        <w:ind w:right="42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</w:t>
      </w:r>
      <w:r w:rsidR="00C96C08" w:rsidRPr="00D409DA">
        <w:rPr>
          <w:rFonts w:ascii="Times New Roman" w:hAnsi="Times New Roman" w:cs="Times New Roman"/>
          <w:sz w:val="24"/>
          <w:szCs w:val="24"/>
        </w:rPr>
        <w:t>erjasama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PkM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3D" w:rsidRPr="00D409D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8E103D"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C96C08" w:rsidRPr="00D409D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739C05EE" w14:textId="448E22BD" w:rsidR="00C96C08" w:rsidRPr="00D409DA" w:rsidRDefault="00C96C08" w:rsidP="00D409DA">
      <w:pPr>
        <w:spacing w:after="0" w:line="276" w:lineRule="auto"/>
        <w:ind w:left="2" w:right="42" w:firstLine="358"/>
        <w:rPr>
          <w:rFonts w:ascii="Times New Roman" w:hAnsi="Times New Roman" w:cs="Times New Roman"/>
          <w:sz w:val="24"/>
          <w:szCs w:val="24"/>
        </w:rPr>
      </w:pPr>
      <w:r w:rsidRPr="00D409DA">
        <w:rPr>
          <w:rFonts w:ascii="Times New Roman" w:hAnsi="Times New Roman" w:cs="Times New Roman"/>
          <w:sz w:val="24"/>
          <w:szCs w:val="24"/>
        </w:rPr>
        <w:t>R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0,02</w:t>
      </w:r>
    </w:p>
    <w:p w14:paraId="5776A24F" w14:textId="2F494368" w:rsidR="00B426A4" w:rsidRPr="00D409DA" w:rsidRDefault="00D409DA" w:rsidP="00D409DA">
      <w:pPr>
        <w:spacing w:after="0" w:line="276" w:lineRule="auto"/>
        <w:ind w:left="360" w:right="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426A4" w:rsidRPr="00D409DA">
        <w:rPr>
          <w:rFonts w:ascii="Times New Roman" w:hAnsi="Times New Roman" w:cs="Times New Roman"/>
          <w:sz w:val="24"/>
          <w:szCs w:val="24"/>
        </w:rPr>
        <w:t>engan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9E22F20" w14:textId="2F01CC00" w:rsidR="00C96C08" w:rsidRPr="00D409DA" w:rsidRDefault="00C96C08" w:rsidP="00D409DA">
      <w:pPr>
        <w:tabs>
          <w:tab w:val="left" w:pos="851"/>
        </w:tabs>
        <w:spacing w:after="0" w:line="276" w:lineRule="auto"/>
        <w:ind w:left="360" w:right="42"/>
        <w:rPr>
          <w:rFonts w:ascii="Times New Roman" w:hAnsi="Times New Roman" w:cs="Times New Roman"/>
          <w:sz w:val="24"/>
          <w:szCs w:val="24"/>
          <w:vertAlign w:val="subscript"/>
        </w:rPr>
      </w:pPr>
      <w:r w:rsidRPr="00D409DA">
        <w:rPr>
          <w:rFonts w:ascii="Times New Roman" w:hAnsi="Times New Roman" w:cs="Times New Roman"/>
          <w:sz w:val="24"/>
          <w:szCs w:val="24"/>
        </w:rPr>
        <w:t>R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B426A4" w:rsidRP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>=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D409DA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 xml:space="preserve">DT </w:t>
      </w:r>
      <w:r w:rsidRPr="00D409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409DA">
        <w:rPr>
          <w:rFonts w:ascii="Times New Roman" w:hAnsi="Times New Roman" w:cs="Times New Roman"/>
          <w:sz w:val="24"/>
          <w:szCs w:val="24"/>
        </w:rPr>
        <w:t xml:space="preserve"> R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D409DA">
        <w:rPr>
          <w:rFonts w:ascii="Times New Roman" w:hAnsi="Times New Roman" w:cs="Times New Roman"/>
          <w:sz w:val="24"/>
          <w:szCs w:val="24"/>
        </w:rPr>
        <w:t xml:space="preserve"> =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D409DA">
        <w:rPr>
          <w:rFonts w:ascii="Times New Roman" w:hAnsi="Times New Roman" w:cs="Times New Roman"/>
          <w:sz w:val="24"/>
          <w:szCs w:val="24"/>
        </w:rPr>
        <w:t xml:space="preserve"> /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DT</w:t>
      </w:r>
      <w:r w:rsidRPr="00D409DA">
        <w:rPr>
          <w:rFonts w:ascii="Times New Roman" w:hAnsi="Times New Roman" w:cs="Times New Roman"/>
          <w:sz w:val="24"/>
          <w:szCs w:val="24"/>
        </w:rPr>
        <w:t xml:space="preserve"> , R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Pr="00D409DA">
        <w:rPr>
          <w:rFonts w:ascii="Times New Roman" w:hAnsi="Times New Roman" w:cs="Times New Roman"/>
          <w:sz w:val="24"/>
          <w:szCs w:val="24"/>
        </w:rPr>
        <w:t xml:space="preserve"> =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Pr="00D409DA">
        <w:rPr>
          <w:rFonts w:ascii="Times New Roman" w:hAnsi="Times New Roman" w:cs="Times New Roman"/>
          <w:sz w:val="24"/>
          <w:szCs w:val="24"/>
        </w:rPr>
        <w:t xml:space="preserve"> / 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DT</w:t>
      </w:r>
    </w:p>
    <w:p w14:paraId="71B8AEEC" w14:textId="72FBDA6A" w:rsidR="00C96C08" w:rsidRPr="00D409DA" w:rsidRDefault="00C96C08" w:rsidP="00D409DA">
      <w:pPr>
        <w:tabs>
          <w:tab w:val="left" w:pos="851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B426A4" w:rsidRP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tridharma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1B92BD" w14:textId="42F6FA1C" w:rsidR="00C96C08" w:rsidRPr="00D409DA" w:rsidRDefault="00C96C08" w:rsidP="00D409DA">
      <w:pPr>
        <w:tabs>
          <w:tab w:val="left" w:pos="851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B426A4" w:rsidRP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tridharma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74653" w14:textId="17E5E9B4" w:rsidR="00B426A4" w:rsidRPr="00D409DA" w:rsidRDefault="00C96C08" w:rsidP="00D409DA">
      <w:pPr>
        <w:tabs>
          <w:tab w:val="left" w:pos="851"/>
        </w:tabs>
        <w:spacing w:after="0" w:line="276" w:lineRule="auto"/>
        <w:ind w:left="360" w:right="42"/>
        <w:rPr>
          <w:rFonts w:ascii="Times New Roman" w:hAnsi="Times New Roman" w:cs="Times New Roman"/>
          <w:sz w:val="24"/>
          <w:szCs w:val="24"/>
        </w:rPr>
      </w:pPr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B426A4" w:rsidRP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tridharma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wilayah/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00CEA" w14:textId="4CF57B23" w:rsidR="00C96C08" w:rsidRPr="00D409DA" w:rsidRDefault="00C96C08" w:rsidP="00D409DA">
      <w:pPr>
        <w:tabs>
          <w:tab w:val="left" w:pos="851"/>
        </w:tabs>
        <w:spacing w:after="0" w:line="276" w:lineRule="auto"/>
        <w:ind w:left="360" w:right="42"/>
        <w:rPr>
          <w:rFonts w:ascii="Times New Roman" w:hAnsi="Times New Roman" w:cs="Times New Roman"/>
          <w:sz w:val="24"/>
          <w:szCs w:val="24"/>
        </w:rPr>
      </w:pPr>
      <w:r w:rsidRPr="00D409DA">
        <w:rPr>
          <w:rFonts w:ascii="Times New Roman" w:hAnsi="Times New Roman" w:cs="Times New Roman"/>
          <w:sz w:val="24"/>
          <w:szCs w:val="24"/>
        </w:rPr>
        <w:t>N</w:t>
      </w:r>
      <w:r w:rsidRPr="00D409DA">
        <w:rPr>
          <w:rFonts w:ascii="Times New Roman" w:hAnsi="Times New Roman" w:cs="Times New Roman"/>
          <w:sz w:val="24"/>
          <w:szCs w:val="24"/>
          <w:vertAlign w:val="subscript"/>
        </w:rPr>
        <w:t>DT</w:t>
      </w:r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B426A4" w:rsidRPr="00D409DA">
        <w:rPr>
          <w:rFonts w:ascii="Times New Roman" w:hAnsi="Times New Roman" w:cs="Times New Roman"/>
          <w:sz w:val="24"/>
          <w:szCs w:val="24"/>
        </w:rPr>
        <w:tab/>
      </w:r>
      <w:r w:rsidRPr="00D409D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7DC72AA4" w14:textId="6A106F84" w:rsidR="00C96C08" w:rsidRPr="00D409DA" w:rsidRDefault="00D45504" w:rsidP="00601D42">
      <w:pPr>
        <w:pStyle w:val="ListParagraph"/>
        <w:numPr>
          <w:ilvl w:val="0"/>
          <w:numId w:val="18"/>
        </w:numPr>
        <w:tabs>
          <w:tab w:val="left" w:pos="567"/>
        </w:tabs>
        <w:spacing w:after="0" w:line="276" w:lineRule="auto"/>
        <w:ind w:firstLine="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STANDAR </w:t>
      </w:r>
      <w:r w:rsidR="009715B8" w:rsidRPr="00D409DA">
        <w:rPr>
          <w:rFonts w:ascii="Times New Roman" w:hAnsi="Times New Roman" w:cs="Times New Roman"/>
          <w:b/>
          <w:bCs/>
          <w:sz w:val="24"/>
          <w:szCs w:val="24"/>
        </w:rPr>
        <w:t>INDIKATOR KINERJA TAMBAHAN</w:t>
      </w:r>
    </w:p>
    <w:p w14:paraId="37A17E2F" w14:textId="77777777" w:rsidR="0034138F" w:rsidRPr="00D409DA" w:rsidRDefault="0034138F" w:rsidP="00601D42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Pengertian</w:t>
      </w:r>
      <w:proofErr w:type="spellEnd"/>
    </w:p>
    <w:p w14:paraId="4972B315" w14:textId="50833B68" w:rsidR="0034138F" w:rsidRPr="00D409DA" w:rsidRDefault="0034138F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pamong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558AE80F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4CF695" w14:textId="77777777" w:rsidR="0034138F" w:rsidRPr="00D409DA" w:rsidRDefault="0034138F" w:rsidP="00601D42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339C96AF" w14:textId="106C4642" w:rsidR="0034138F" w:rsidRPr="00D409DA" w:rsidRDefault="0034138F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SN-DIKTI.</w:t>
      </w:r>
    </w:p>
    <w:p w14:paraId="24D00801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4D8846" w14:textId="77777777" w:rsidR="0034138F" w:rsidRPr="00D409DA" w:rsidRDefault="0034138F" w:rsidP="00601D42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</w:p>
    <w:p w14:paraId="7A9E8470" w14:textId="5BCFCBEA" w:rsidR="0034138F" w:rsidRPr="00D409DA" w:rsidRDefault="0034138F" w:rsidP="00CD2240">
      <w:pPr>
        <w:spacing w:after="0" w:line="276" w:lineRule="auto"/>
        <w:ind w:left="4" w:right="44" w:firstLine="716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p</w:t>
      </w:r>
      <w:r w:rsidR="00FA0751" w:rsidRPr="00D409DA">
        <w:rPr>
          <w:rFonts w:ascii="Times New Roman" w:hAnsi="Times New Roman" w:cs="Times New Roman"/>
          <w:sz w:val="24"/>
          <w:szCs w:val="24"/>
        </w:rPr>
        <w:t>elampauan</w:t>
      </w:r>
      <w:proofErr w:type="spellEnd"/>
      <w:proofErr w:type="gramEnd"/>
      <w:r w:rsidR="00FA0751" w:rsidRPr="00D409DA">
        <w:rPr>
          <w:rFonts w:ascii="Times New Roman" w:hAnsi="Times New Roman" w:cs="Times New Roman"/>
          <w:sz w:val="24"/>
          <w:szCs w:val="24"/>
        </w:rPr>
        <w:t xml:space="preserve"> SN-DIKTI (</w:t>
      </w:r>
      <w:proofErr w:type="spellStart"/>
      <w:r w:rsidR="00FA0751" w:rsidRPr="00D409D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FA075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751"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FA075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751" w:rsidRPr="00D409D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FA0751" w:rsidRPr="00D409DA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FA0751" w:rsidRPr="00D409D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FA0751" w:rsidRPr="00D409D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A0751" w:rsidRPr="00D409D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FA075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751" w:rsidRPr="00D409D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FA0751" w:rsidRPr="00D409D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A0751" w:rsidRPr="00D409DA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FA0751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751" w:rsidRPr="00D409D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FA0751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4DCEC562" w14:textId="77777777" w:rsidR="00EA2888" w:rsidRPr="00D409DA" w:rsidRDefault="00EA2888" w:rsidP="00D409DA">
      <w:pPr>
        <w:spacing w:after="0" w:line="276" w:lineRule="auto"/>
        <w:ind w:left="4" w:right="44"/>
        <w:rPr>
          <w:rFonts w:ascii="Times New Roman" w:hAnsi="Times New Roman" w:cs="Times New Roman"/>
          <w:sz w:val="24"/>
          <w:szCs w:val="24"/>
        </w:rPr>
      </w:pPr>
    </w:p>
    <w:p w14:paraId="2E4BA9EF" w14:textId="426E1A9B" w:rsidR="0034138F" w:rsidRPr="00D409DA" w:rsidRDefault="0034138F" w:rsidP="00601D42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A0751" w:rsidRPr="00D409DA"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="00FA0751"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A0751" w:rsidRPr="00D409DA">
        <w:rPr>
          <w:rFonts w:ascii="Times New Roman" w:hAnsi="Times New Roman" w:cs="Times New Roman"/>
          <w:b/>
          <w:bCs/>
          <w:sz w:val="24"/>
          <w:szCs w:val="24"/>
        </w:rPr>
        <w:t>Kinerja</w:t>
      </w:r>
      <w:proofErr w:type="spellEnd"/>
      <w:r w:rsidR="00FA0751"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A0751" w:rsidRPr="00D409DA">
        <w:rPr>
          <w:rFonts w:ascii="Times New Roman" w:hAnsi="Times New Roman" w:cs="Times New Roman"/>
          <w:b/>
          <w:bCs/>
          <w:sz w:val="24"/>
          <w:szCs w:val="24"/>
        </w:rPr>
        <w:t>Tambahan</w:t>
      </w:r>
      <w:proofErr w:type="spellEnd"/>
    </w:p>
    <w:p w14:paraId="555E8FC0" w14:textId="7A1D4A83" w:rsidR="00C96C08" w:rsidRPr="00D409DA" w:rsidRDefault="00FA0751" w:rsidP="00CD2240">
      <w:pPr>
        <w:spacing w:after="0" w:line="276" w:lineRule="auto"/>
        <w:ind w:left="2" w:firstLine="718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SN-DIKTI dan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</w:t>
      </w:r>
      <w:r w:rsidR="00C96C08" w:rsidRPr="00D409DA">
        <w:rPr>
          <w:rFonts w:ascii="Times New Roman" w:hAnsi="Times New Roman" w:cs="Times New Roman"/>
          <w:sz w:val="24"/>
          <w:szCs w:val="24"/>
        </w:rPr>
        <w:t>ata</w:t>
      </w:r>
      <w:r w:rsidRPr="00D409DA">
        <w:rPr>
          <w:rFonts w:ascii="Times New Roman" w:hAnsi="Times New Roman" w:cs="Times New Roman"/>
          <w:sz w:val="24"/>
          <w:szCs w:val="24"/>
        </w:rPr>
        <w:t>,</w:t>
      </w:r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memonitor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08" w:rsidRPr="00D409DA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C96C08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0542C1B5" w14:textId="6D0DFCE4" w:rsidR="00C96C08" w:rsidRPr="00D409DA" w:rsidRDefault="00C96C08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</w:p>
    <w:p w14:paraId="4CABA340" w14:textId="13930F18" w:rsidR="00C96C08" w:rsidRPr="00D409DA" w:rsidRDefault="00D45504" w:rsidP="00601D42">
      <w:pPr>
        <w:pStyle w:val="ListParagraph"/>
        <w:numPr>
          <w:ilvl w:val="0"/>
          <w:numId w:val="18"/>
        </w:numPr>
        <w:spacing w:after="0" w:line="276" w:lineRule="auto"/>
        <w:ind w:hanging="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STANDAR </w:t>
      </w:r>
      <w:r w:rsidR="009715B8" w:rsidRPr="00D409DA">
        <w:rPr>
          <w:rFonts w:ascii="Times New Roman" w:hAnsi="Times New Roman" w:cs="Times New Roman"/>
          <w:b/>
          <w:bCs/>
          <w:sz w:val="24"/>
          <w:szCs w:val="24"/>
        </w:rPr>
        <w:t>EVALUASI CAPAIAN KINERJA</w:t>
      </w:r>
    </w:p>
    <w:p w14:paraId="77CA8AE3" w14:textId="77777777" w:rsidR="00B016D1" w:rsidRPr="00D409DA" w:rsidRDefault="00B016D1" w:rsidP="00601D42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</w:p>
    <w:p w14:paraId="303F21B9" w14:textId="10771C04" w:rsidR="00B016D1" w:rsidRPr="00D409DA" w:rsidRDefault="00B016D1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751" w:rsidRPr="00D409DA">
        <w:rPr>
          <w:rFonts w:ascii="Times New Roman" w:hAnsi="Times New Roman" w:cs="Times New Roman"/>
          <w:sz w:val="24"/>
          <w:szCs w:val="24"/>
        </w:rPr>
        <w:t>menga</w:t>
      </w:r>
      <w:r w:rsidRPr="00D409DA">
        <w:rPr>
          <w:rFonts w:ascii="Times New Roman" w:hAnsi="Times New Roman" w:cs="Times New Roman"/>
          <w:sz w:val="24"/>
          <w:szCs w:val="24"/>
        </w:rPr>
        <w:t>nalisis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ketidakberhasilan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751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E56751" w:rsidRPr="00D409DA">
        <w:rPr>
          <w:rFonts w:ascii="Times New Roman" w:hAnsi="Times New Roman" w:cs="Times New Roman"/>
          <w:sz w:val="24"/>
          <w:szCs w:val="24"/>
        </w:rPr>
        <w:t xml:space="preserve"> Negeri Malang</w:t>
      </w:r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447A9002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FD8868" w14:textId="77777777" w:rsidR="00B016D1" w:rsidRPr="00D409DA" w:rsidRDefault="00B016D1" w:rsidP="00601D42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1966BB3A" w14:textId="2CF36C4D" w:rsidR="00B016D1" w:rsidRPr="00D409DA" w:rsidRDefault="00B016D1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Negeri Malang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ketidakberhasilan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Negeri Malang</w:t>
      </w:r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118E9C12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295174" w14:textId="77777777" w:rsidR="00B016D1" w:rsidRPr="00D409DA" w:rsidRDefault="00B016D1" w:rsidP="00601D42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</w:p>
    <w:p w14:paraId="6D2682A7" w14:textId="270606B4" w:rsidR="00B016D1" w:rsidRPr="00D409DA" w:rsidRDefault="00B016D1" w:rsidP="00CD2240">
      <w:pPr>
        <w:spacing w:after="0" w:line="276" w:lineRule="auto"/>
        <w:ind w:left="4" w:right="44" w:firstLine="716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ketidakberhasilan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:  1)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, dan 2)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ketercapaian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standard, dan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BC36E4" w:rsidRPr="00D409DA">
        <w:rPr>
          <w:rFonts w:ascii="Times New Roman" w:hAnsi="Times New Roman" w:cs="Times New Roman"/>
          <w:sz w:val="24"/>
          <w:szCs w:val="24"/>
        </w:rPr>
        <w:t xml:space="preserve"> Negeri Malang</w:t>
      </w:r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2D3BE8A8" w14:textId="77777777" w:rsidR="00EA2888" w:rsidRPr="00D409DA" w:rsidRDefault="00EA2888" w:rsidP="00D409DA">
      <w:pPr>
        <w:spacing w:after="0" w:line="276" w:lineRule="auto"/>
        <w:ind w:left="4" w:right="44"/>
        <w:rPr>
          <w:rFonts w:ascii="Times New Roman" w:hAnsi="Times New Roman" w:cs="Times New Roman"/>
          <w:sz w:val="24"/>
          <w:szCs w:val="24"/>
        </w:rPr>
      </w:pPr>
    </w:p>
    <w:p w14:paraId="796F2901" w14:textId="4BBA8D66" w:rsidR="00B016D1" w:rsidRPr="00D409DA" w:rsidRDefault="00B016D1" w:rsidP="00601D42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="00BC36E4"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b/>
          <w:bCs/>
          <w:sz w:val="24"/>
          <w:szCs w:val="24"/>
        </w:rPr>
        <w:t>Capaian</w:t>
      </w:r>
      <w:proofErr w:type="spellEnd"/>
      <w:r w:rsidR="00BC36E4"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36E4" w:rsidRPr="00D409DA">
        <w:rPr>
          <w:rFonts w:ascii="Times New Roman" w:hAnsi="Times New Roman" w:cs="Times New Roman"/>
          <w:b/>
          <w:bCs/>
          <w:sz w:val="24"/>
          <w:szCs w:val="24"/>
        </w:rPr>
        <w:t>Kinerja</w:t>
      </w:r>
      <w:proofErr w:type="spellEnd"/>
    </w:p>
    <w:p w14:paraId="68593390" w14:textId="0ECA1B1D" w:rsidR="00C96C08" w:rsidRPr="00D409DA" w:rsidRDefault="00BC36E4" w:rsidP="00CD2240">
      <w:pPr>
        <w:spacing w:after="0" w:line="276" w:lineRule="auto"/>
        <w:ind w:left="2" w:firstLine="718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menga</w:t>
      </w:r>
      <w:r w:rsidR="007B6949" w:rsidRPr="00D409DA">
        <w:rPr>
          <w:rFonts w:ascii="Times New Roman" w:hAnsi="Times New Roman" w:cs="Times New Roman"/>
          <w:sz w:val="24"/>
          <w:szCs w:val="24"/>
        </w:rPr>
        <w:t>nalisis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Pr="00D409DA">
        <w:rPr>
          <w:rFonts w:ascii="Times New Roman" w:hAnsi="Times New Roman" w:cs="Times New Roman"/>
          <w:sz w:val="24"/>
          <w:szCs w:val="24"/>
        </w:rPr>
        <w:t>UM</w:t>
      </w:r>
      <w:r w:rsidR="007B6949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7A2C0AC5" w14:textId="06A62B72" w:rsidR="007B6949" w:rsidRPr="00D409DA" w:rsidRDefault="007B6949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</w:p>
    <w:p w14:paraId="2FDD5BE7" w14:textId="0BB6D407" w:rsidR="007B6949" w:rsidRPr="00D409DA" w:rsidRDefault="00D45504" w:rsidP="00601D42">
      <w:pPr>
        <w:pStyle w:val="ListParagraph"/>
        <w:numPr>
          <w:ilvl w:val="0"/>
          <w:numId w:val="18"/>
        </w:numPr>
        <w:spacing w:after="0" w:line="276" w:lineRule="auto"/>
        <w:ind w:hanging="1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STANDAR </w:t>
      </w:r>
      <w:r w:rsidR="009715B8" w:rsidRPr="00D409DA">
        <w:rPr>
          <w:rFonts w:ascii="Times New Roman" w:hAnsi="Times New Roman" w:cs="Times New Roman"/>
          <w:b/>
          <w:bCs/>
          <w:sz w:val="24"/>
          <w:szCs w:val="24"/>
        </w:rPr>
        <w:t>PENJAMINAN MUTU</w:t>
      </w:r>
    </w:p>
    <w:p w14:paraId="22D19260" w14:textId="77777777" w:rsidR="007F6788" w:rsidRPr="00D409DA" w:rsidRDefault="007F6788" w:rsidP="00601D42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</w:p>
    <w:p w14:paraId="5CE92332" w14:textId="6E593086" w:rsidR="007F6788" w:rsidRPr="00D409DA" w:rsidRDefault="00B52CC7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788" w:rsidRPr="00D409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F6788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unit di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unit yang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6EA7670F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F82973" w14:textId="77777777" w:rsidR="007F6788" w:rsidRPr="00D409DA" w:rsidRDefault="007F6788" w:rsidP="00601D42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295B1D63" w14:textId="27299752" w:rsidR="007F6788" w:rsidRPr="00D409DA" w:rsidRDefault="007F6788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unit di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Negeri Malang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unit yang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.</w:t>
      </w:r>
    </w:p>
    <w:p w14:paraId="019EFBC9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831524" w14:textId="77777777" w:rsidR="007F6788" w:rsidRPr="00D409DA" w:rsidRDefault="007F6788" w:rsidP="00601D42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</w:p>
    <w:p w14:paraId="2876FB54" w14:textId="273A7BF4" w:rsidR="00B52CC7" w:rsidRPr="00D409DA" w:rsidRDefault="007F6788" w:rsidP="00CD2240">
      <w:pPr>
        <w:spacing w:after="0" w:line="276" w:lineRule="auto"/>
        <w:ind w:left="2" w:firstLine="718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e</w:t>
      </w:r>
      <w:r w:rsidR="00B52CC7" w:rsidRPr="00D409DA">
        <w:rPr>
          <w:rFonts w:ascii="Times New Roman" w:hAnsi="Times New Roman" w:cs="Times New Roman"/>
          <w:sz w:val="24"/>
          <w:szCs w:val="24"/>
        </w:rPr>
        <w:t>fektivitas</w:t>
      </w:r>
      <w:proofErr w:type="spellEnd"/>
      <w:proofErr w:type="gram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Negeri Malang yang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B52CC7" w:rsidRPr="00D409DA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E529E71" w14:textId="5498EA3F" w:rsidR="00EA2888" w:rsidRDefault="00B52CC7" w:rsidP="00601D42">
      <w:pPr>
        <w:pStyle w:val="ListParagraph"/>
        <w:numPr>
          <w:ilvl w:val="0"/>
          <w:numId w:val="17"/>
        </w:numPr>
        <w:spacing w:after="0" w:line="276" w:lineRule="auto"/>
        <w:ind w:right="44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legal formal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9D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,  2</w:t>
      </w:r>
      <w:proofErr w:type="gramEnd"/>
      <w:r w:rsidRPr="00D409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3) monitoring,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dan  4)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ditindak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lanjuti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="007F6788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095F4E87" w14:textId="77777777" w:rsidR="00D409DA" w:rsidRPr="00D409DA" w:rsidRDefault="00D409DA" w:rsidP="00D409DA">
      <w:pPr>
        <w:spacing w:after="0" w:line="276" w:lineRule="auto"/>
        <w:ind w:left="4" w:right="44"/>
        <w:rPr>
          <w:rFonts w:ascii="Times New Roman" w:hAnsi="Times New Roman" w:cs="Times New Roman"/>
          <w:sz w:val="24"/>
          <w:szCs w:val="24"/>
        </w:rPr>
      </w:pPr>
    </w:p>
    <w:p w14:paraId="70B5E779" w14:textId="4B6E23B6" w:rsidR="007F6788" w:rsidRPr="00D409DA" w:rsidRDefault="007F6788" w:rsidP="00601D42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b/>
          <w:bCs/>
          <w:sz w:val="24"/>
          <w:szCs w:val="24"/>
        </w:rPr>
        <w:t>Penjaminan</w:t>
      </w:r>
      <w:proofErr w:type="spellEnd"/>
      <w:r w:rsidR="00B52CC7"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52CC7" w:rsidRPr="00D409DA">
        <w:rPr>
          <w:rFonts w:ascii="Times New Roman" w:hAnsi="Times New Roman" w:cs="Times New Roman"/>
          <w:b/>
          <w:bCs/>
          <w:sz w:val="24"/>
          <w:szCs w:val="24"/>
        </w:rPr>
        <w:t>Mutu</w:t>
      </w:r>
      <w:proofErr w:type="spellEnd"/>
    </w:p>
    <w:p w14:paraId="42218AA5" w14:textId="4D4B6074" w:rsidR="007B6949" w:rsidRPr="00D409DA" w:rsidRDefault="007823DF" w:rsidP="00CD2240">
      <w:pPr>
        <w:spacing w:after="0" w:line="276" w:lineRule="auto"/>
        <w:ind w:left="2" w:firstLine="718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review.</w:t>
      </w:r>
    </w:p>
    <w:p w14:paraId="048CF346" w14:textId="2E5D6BFE" w:rsidR="007B6949" w:rsidRPr="00D409DA" w:rsidRDefault="007B6949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</w:p>
    <w:p w14:paraId="5104C584" w14:textId="7FF0CEE1" w:rsidR="007B6949" w:rsidRPr="00D409DA" w:rsidRDefault="00D45504" w:rsidP="00601D42">
      <w:pPr>
        <w:pStyle w:val="ListParagraph"/>
        <w:numPr>
          <w:ilvl w:val="0"/>
          <w:numId w:val="18"/>
        </w:numPr>
        <w:spacing w:after="0" w:line="276" w:lineRule="auto"/>
        <w:ind w:hanging="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STANDAR </w:t>
      </w:r>
      <w:r w:rsidR="00480E3E" w:rsidRPr="00D409DA">
        <w:rPr>
          <w:rFonts w:ascii="Times New Roman" w:hAnsi="Times New Roman" w:cs="Times New Roman"/>
          <w:b/>
          <w:bCs/>
          <w:sz w:val="24"/>
          <w:szCs w:val="24"/>
        </w:rPr>
        <w:t>KEPUASAN PEMANGKU KEPENTINGAN.</w:t>
      </w:r>
    </w:p>
    <w:p w14:paraId="55E00020" w14:textId="77777777" w:rsidR="00557A01" w:rsidRPr="00D409DA" w:rsidRDefault="00557A01" w:rsidP="00601D42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</w:p>
    <w:p w14:paraId="0D71AF95" w14:textId="2C6465D5" w:rsidR="00557A01" w:rsidRPr="00D409DA" w:rsidRDefault="00557A01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r w:rsidR="00A405CF" w:rsidRPr="00D409DA">
        <w:rPr>
          <w:rFonts w:ascii="Times New Roman" w:hAnsi="Times New Roman" w:cs="Times New Roman"/>
          <w:sz w:val="24"/>
          <w:szCs w:val="24"/>
        </w:rPr>
        <w:t xml:space="preserve">rasa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alumni,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Negeri Malang.</w:t>
      </w:r>
    </w:p>
    <w:p w14:paraId="22A377B8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69A671" w14:textId="77777777" w:rsidR="00557A01" w:rsidRPr="00D409DA" w:rsidRDefault="00557A01" w:rsidP="00601D42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3923298C" w14:textId="7434916D" w:rsidR="00557A01" w:rsidRPr="00D409DA" w:rsidRDefault="00557A01" w:rsidP="00CD2240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alumni,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Negeri Malang.</w:t>
      </w:r>
    </w:p>
    <w:p w14:paraId="1FBBFCA8" w14:textId="77777777" w:rsidR="00EA2888" w:rsidRPr="00D409DA" w:rsidRDefault="00EA2888" w:rsidP="00D409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FDBA4D" w14:textId="77777777" w:rsidR="00557A01" w:rsidRPr="00D409DA" w:rsidRDefault="00557A01" w:rsidP="00601D42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</w:p>
    <w:p w14:paraId="20E4D08B" w14:textId="230CAA1E" w:rsidR="00557A01" w:rsidRDefault="00557A01" w:rsidP="00CD2240">
      <w:pPr>
        <w:spacing w:after="0" w:line="276" w:lineRule="auto"/>
        <w:ind w:left="2" w:firstLine="718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: tata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pamong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yang sahih,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terekam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 3)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, dan 4)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ditindaklanjuti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405CF" w:rsidRPr="00D409DA">
        <w:rPr>
          <w:rFonts w:ascii="Times New Roman" w:hAnsi="Times New Roman" w:cs="Times New Roman"/>
          <w:sz w:val="24"/>
          <w:szCs w:val="24"/>
        </w:rPr>
        <w:t>tersistem</w:t>
      </w:r>
      <w:proofErr w:type="spellEnd"/>
      <w:r w:rsidR="00A405CF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37E714D2" w14:textId="77777777" w:rsidR="00D409DA" w:rsidRPr="00D409DA" w:rsidRDefault="00D409DA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</w:p>
    <w:p w14:paraId="052135B9" w14:textId="5462DF2B" w:rsidR="00557A01" w:rsidRPr="00D409DA" w:rsidRDefault="00557A01" w:rsidP="00601D42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pemangku</w:t>
      </w:r>
      <w:proofErr w:type="spellEnd"/>
      <w:r w:rsidRPr="00D4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b/>
          <w:bCs/>
          <w:sz w:val="24"/>
          <w:szCs w:val="24"/>
        </w:rPr>
        <w:t>kepentingan</w:t>
      </w:r>
      <w:proofErr w:type="spellEnd"/>
    </w:p>
    <w:p w14:paraId="4A81BF37" w14:textId="613161E5" w:rsidR="007B6949" w:rsidRPr="00D409DA" w:rsidRDefault="00A405CF" w:rsidP="00CD2240">
      <w:pPr>
        <w:spacing w:after="0" w:line="276" w:lineRule="auto"/>
        <w:ind w:left="2" w:right="36" w:firstLine="718"/>
        <w:rPr>
          <w:rFonts w:ascii="Times New Roman" w:hAnsi="Times New Roman" w:cs="Times New Roman"/>
          <w:sz w:val="24"/>
          <w:szCs w:val="24"/>
        </w:rPr>
      </w:pP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Negeri Malang paling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[1)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yang sahih,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terekam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 3)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, dan 4)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ditindaklanjuti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09DA">
        <w:rPr>
          <w:rFonts w:ascii="Times New Roman" w:hAnsi="Times New Roman" w:cs="Times New Roman"/>
          <w:sz w:val="24"/>
          <w:szCs w:val="24"/>
        </w:rPr>
        <w:t>tersistem</w:t>
      </w:r>
      <w:proofErr w:type="spellEnd"/>
      <w:r w:rsidRPr="00D409DA">
        <w:rPr>
          <w:rFonts w:ascii="Times New Roman" w:hAnsi="Times New Roman" w:cs="Times New Roman"/>
          <w:sz w:val="24"/>
          <w:szCs w:val="24"/>
        </w:rPr>
        <w:t>]</w:t>
      </w:r>
      <w:r w:rsidR="007B6949" w:rsidRPr="00D40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, dan 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949" w:rsidRPr="00D409D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B6949" w:rsidRPr="00D409DA">
        <w:rPr>
          <w:rFonts w:ascii="Times New Roman" w:hAnsi="Times New Roman" w:cs="Times New Roman"/>
          <w:sz w:val="24"/>
          <w:szCs w:val="24"/>
        </w:rPr>
        <w:t>.</w:t>
      </w:r>
    </w:p>
    <w:p w14:paraId="4D109E3C" w14:textId="77777777" w:rsidR="007B6949" w:rsidRPr="00D409DA" w:rsidRDefault="007B6949" w:rsidP="00D409DA">
      <w:pPr>
        <w:spacing w:after="0" w:line="276" w:lineRule="auto"/>
        <w:ind w:left="2" w:right="36"/>
        <w:rPr>
          <w:rFonts w:ascii="Times New Roman" w:hAnsi="Times New Roman" w:cs="Times New Roman"/>
          <w:sz w:val="24"/>
          <w:szCs w:val="24"/>
        </w:rPr>
      </w:pPr>
    </w:p>
    <w:p w14:paraId="5CA1212C" w14:textId="77777777" w:rsidR="004D503E" w:rsidRPr="00D409DA" w:rsidRDefault="004D503E" w:rsidP="00D409DA">
      <w:pPr>
        <w:spacing w:after="0" w:line="276" w:lineRule="auto"/>
        <w:ind w:left="2"/>
        <w:rPr>
          <w:rFonts w:ascii="Times New Roman" w:hAnsi="Times New Roman" w:cs="Times New Roman"/>
          <w:sz w:val="24"/>
          <w:szCs w:val="24"/>
        </w:rPr>
      </w:pPr>
    </w:p>
    <w:p w14:paraId="5CD9A45D" w14:textId="77777777" w:rsidR="00382F0D" w:rsidRPr="00601D42" w:rsidRDefault="00382F0D" w:rsidP="00382F0D">
      <w:pPr>
        <w:spacing w:after="153"/>
        <w:jc w:val="center"/>
        <w:rPr>
          <w:rFonts w:ascii="Times New Roman" w:hAnsi="Times New Roman" w:cs="Times New Roman"/>
          <w:sz w:val="24"/>
          <w:szCs w:val="24"/>
        </w:rPr>
      </w:pPr>
      <w:r w:rsidRPr="00601D42">
        <w:rPr>
          <w:rFonts w:ascii="Times New Roman" w:eastAsia="Courier New" w:hAnsi="Times New Roman" w:cs="Times New Roman"/>
          <w:sz w:val="24"/>
          <w:szCs w:val="24"/>
        </w:rPr>
        <w:t>PENUTUP</w:t>
      </w:r>
    </w:p>
    <w:p w14:paraId="24836352" w14:textId="6390FC77" w:rsidR="00382F0D" w:rsidRPr="00601D42" w:rsidRDefault="00382F0D" w:rsidP="00382F0D">
      <w:pPr>
        <w:spacing w:after="622" w:line="235" w:lineRule="auto"/>
        <w:ind w:left="-15" w:firstLine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F13" w:rsidRPr="00601D42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6F7F13" w:rsidRPr="00601D42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F7F13" w:rsidRPr="00601D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F7F13" w:rsidRPr="00601D42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dipatuhi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civitas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akademika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UM.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F13" w:rsidRPr="00601D42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6F7F13" w:rsidRPr="00601D42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F7F13" w:rsidRPr="00601D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F7F13" w:rsidRPr="00601D42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tergantung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. program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sosialisasi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F13" w:rsidRPr="00601D42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6F7F13" w:rsidRPr="00601D42">
        <w:rPr>
          <w:rFonts w:ascii="Times New Roman" w:eastAsia="Times New Roman" w:hAnsi="Times New Roman" w:cs="Times New Roman"/>
          <w:sz w:val="24"/>
          <w:szCs w:val="24"/>
        </w:rPr>
        <w:t>Pamong</w:t>
      </w:r>
      <w:proofErr w:type="spellEnd"/>
      <w:r w:rsidR="006F7F13" w:rsidRPr="00601D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F7F13" w:rsidRPr="00601D42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dijabarkan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rektor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UM.</w:t>
      </w:r>
    </w:p>
    <w:p w14:paraId="5F860AF7" w14:textId="57EF635D" w:rsidR="00382F0D" w:rsidRPr="00601D42" w:rsidRDefault="006F7F13" w:rsidP="006F7F13">
      <w:pPr>
        <w:tabs>
          <w:tab w:val="left" w:pos="5670"/>
        </w:tabs>
        <w:spacing w:after="3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4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382F0D" w:rsidRPr="00601D42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="00382F0D" w:rsidRPr="00601D42">
        <w:rPr>
          <w:rFonts w:ascii="Times New Roman" w:eastAsia="Times New Roman" w:hAnsi="Times New Roman" w:cs="Times New Roman"/>
          <w:sz w:val="24"/>
          <w:szCs w:val="24"/>
        </w:rPr>
        <w:t xml:space="preserve"> di Malang</w:t>
      </w:r>
    </w:p>
    <w:p w14:paraId="345F9F31" w14:textId="15C3C679" w:rsidR="00382F0D" w:rsidRPr="00601D42" w:rsidRDefault="006F7F13" w:rsidP="006F7F13">
      <w:pPr>
        <w:tabs>
          <w:tab w:val="left" w:pos="5670"/>
        </w:tabs>
        <w:spacing w:after="262"/>
        <w:rPr>
          <w:rFonts w:ascii="Times New Roman" w:eastAsia="Times New Roman" w:hAnsi="Times New Roman" w:cs="Times New Roman"/>
          <w:sz w:val="24"/>
          <w:szCs w:val="24"/>
        </w:rPr>
      </w:pPr>
      <w:r w:rsidRPr="00601D42">
        <w:rPr>
          <w:rFonts w:ascii="Times New Roman" w:eastAsia="Times New Roman" w:hAnsi="Times New Roman" w:cs="Times New Roman"/>
          <w:sz w:val="24"/>
          <w:szCs w:val="24"/>
        </w:rPr>
        <w:tab/>
      </w:r>
      <w:r w:rsidR="00382F0D" w:rsidRPr="00601D42">
        <w:rPr>
          <w:rFonts w:ascii="Times New Roman" w:eastAsia="Times New Roman" w:hAnsi="Times New Roman" w:cs="Times New Roman"/>
          <w:sz w:val="24"/>
          <w:szCs w:val="24"/>
        </w:rPr>
        <w:t>REKTOR,</w:t>
      </w:r>
    </w:p>
    <w:p w14:paraId="536ADF22" w14:textId="463ACA70" w:rsidR="00382F0D" w:rsidRPr="00601D42" w:rsidRDefault="00601D42" w:rsidP="00601D42">
      <w:pPr>
        <w:tabs>
          <w:tab w:val="left" w:pos="5670"/>
        </w:tabs>
        <w:spacing w:after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82F0D" w:rsidRPr="00601D42">
        <w:rPr>
          <w:rFonts w:ascii="Times New Roman" w:eastAsia="Times New Roman" w:hAnsi="Times New Roman" w:cs="Times New Roman"/>
          <w:sz w:val="24"/>
          <w:szCs w:val="24"/>
        </w:rPr>
        <w:t>TTD.</w:t>
      </w:r>
    </w:p>
    <w:p w14:paraId="45FF0E5E" w14:textId="790CE3F6" w:rsidR="00382F0D" w:rsidRPr="00601D42" w:rsidRDefault="00601D42" w:rsidP="00601D42">
      <w:pPr>
        <w:tabs>
          <w:tab w:val="left" w:pos="5670"/>
        </w:tabs>
        <w:spacing w:after="3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82F0D" w:rsidRPr="00601D42">
        <w:rPr>
          <w:rFonts w:ascii="Times New Roman" w:eastAsia="Times New Roman" w:hAnsi="Times New Roman" w:cs="Times New Roman"/>
          <w:sz w:val="24"/>
          <w:szCs w:val="24"/>
        </w:rPr>
        <w:t>AH. ROFI'UDDIN</w:t>
      </w:r>
    </w:p>
    <w:p w14:paraId="64D6FF04" w14:textId="77777777" w:rsidR="00382F0D" w:rsidRPr="00601D42" w:rsidRDefault="00382F0D" w:rsidP="00382F0D">
      <w:pPr>
        <w:spacing w:after="3"/>
        <w:ind w:left="5" w:hanging="10"/>
        <w:rPr>
          <w:rFonts w:ascii="Times New Roman" w:hAnsi="Times New Roman" w:cs="Times New Roman"/>
          <w:sz w:val="24"/>
          <w:szCs w:val="24"/>
        </w:rPr>
      </w:pPr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Salinan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aslinya</w:t>
      </w:r>
      <w:proofErr w:type="spellEnd"/>
    </w:p>
    <w:p w14:paraId="2702389C" w14:textId="77777777" w:rsidR="00382F0D" w:rsidRPr="00601D42" w:rsidRDefault="00382F0D" w:rsidP="00382F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Biro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601D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B4291B0" w14:textId="77777777" w:rsidR="00382F0D" w:rsidRPr="00601D42" w:rsidRDefault="00382F0D" w:rsidP="00382F0D">
      <w:pPr>
        <w:spacing w:after="63"/>
        <w:ind w:left="182"/>
        <w:rPr>
          <w:rFonts w:ascii="Times New Roman" w:hAnsi="Times New Roman" w:cs="Times New Roman"/>
          <w:sz w:val="24"/>
          <w:szCs w:val="24"/>
        </w:rPr>
      </w:pPr>
      <w:r w:rsidRPr="00601D4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A1FDEE" wp14:editId="3B975F97">
            <wp:extent cx="573194" cy="676575"/>
            <wp:effectExtent l="0" t="0" r="0" b="0"/>
            <wp:docPr id="474" name="Picture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Picture 4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94" cy="6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BDEAF" w14:textId="77777777" w:rsidR="00382F0D" w:rsidRPr="00601D42" w:rsidRDefault="00382F0D" w:rsidP="00382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D42">
        <w:rPr>
          <w:rFonts w:ascii="Times New Roman" w:eastAsia="Times New Roman" w:hAnsi="Times New Roman" w:cs="Times New Roman"/>
          <w:sz w:val="24"/>
          <w:szCs w:val="24"/>
        </w:rPr>
        <w:t xml:space="preserve">Amin </w:t>
      </w:r>
      <w:proofErr w:type="spellStart"/>
      <w:r w:rsidRPr="00601D42">
        <w:rPr>
          <w:rFonts w:ascii="Times New Roman" w:eastAsia="Times New Roman" w:hAnsi="Times New Roman" w:cs="Times New Roman"/>
          <w:sz w:val="24"/>
          <w:szCs w:val="24"/>
        </w:rPr>
        <w:t>Sidiq</w:t>
      </w:r>
      <w:proofErr w:type="spellEnd"/>
    </w:p>
    <w:p w14:paraId="04FABFF0" w14:textId="77777777" w:rsidR="00382F0D" w:rsidRDefault="00382F0D" w:rsidP="006F7F13">
      <w:pPr>
        <w:spacing w:after="3"/>
      </w:pPr>
      <w:r>
        <w:rPr>
          <w:rFonts w:ascii="Times New Roman" w:eastAsia="Times New Roman" w:hAnsi="Times New Roman" w:cs="Times New Roman"/>
          <w:sz w:val="28"/>
        </w:rPr>
        <w:t>IP 196011011987091001</w:t>
      </w:r>
    </w:p>
    <w:p w14:paraId="7DA97A81" w14:textId="77777777" w:rsidR="004D503E" w:rsidRPr="00D409DA" w:rsidRDefault="004D503E" w:rsidP="00D409DA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4D503E" w:rsidRPr="00D409DA" w:rsidSect="00A021C2">
      <w:pgSz w:w="11906" w:h="16838" w:code="9"/>
      <w:pgMar w:top="1871" w:right="1418" w:bottom="1531" w:left="1701" w:header="1021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E63E"/>
    <w:multiLevelType w:val="hybridMultilevel"/>
    <w:tmpl w:val="00000A34"/>
    <w:lvl w:ilvl="0" w:tplc="000014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530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845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15D9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CE8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842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8BF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2354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D1C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 w15:restartNumberingAfterBreak="0">
    <w:nsid w:val="098864F2"/>
    <w:multiLevelType w:val="hybridMultilevel"/>
    <w:tmpl w:val="DA2086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D6865"/>
    <w:multiLevelType w:val="hybridMultilevel"/>
    <w:tmpl w:val="991C5F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36DDA"/>
    <w:multiLevelType w:val="hybridMultilevel"/>
    <w:tmpl w:val="06183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55DB6"/>
    <w:multiLevelType w:val="hybridMultilevel"/>
    <w:tmpl w:val="BC3C0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D2020"/>
    <w:multiLevelType w:val="hybridMultilevel"/>
    <w:tmpl w:val="991C5F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B1BAD"/>
    <w:multiLevelType w:val="hybridMultilevel"/>
    <w:tmpl w:val="C8BC5B02"/>
    <w:lvl w:ilvl="0" w:tplc="52C81B78">
      <w:start w:val="1"/>
      <w:numFmt w:val="decimal"/>
      <w:lvlText w:val="%1."/>
      <w:lvlJc w:val="left"/>
      <w:pPr>
        <w:ind w:left="0" w:firstLine="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2004B"/>
    <w:multiLevelType w:val="hybridMultilevel"/>
    <w:tmpl w:val="991C5F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0C3BE0"/>
    <w:multiLevelType w:val="hybridMultilevel"/>
    <w:tmpl w:val="6D90A3DA"/>
    <w:lvl w:ilvl="0" w:tplc="093CA7C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303819F9"/>
    <w:multiLevelType w:val="hybridMultilevel"/>
    <w:tmpl w:val="3EA6F2E4"/>
    <w:lvl w:ilvl="0" w:tplc="A45253DA">
      <w:start w:val="2"/>
      <w:numFmt w:val="decimal"/>
      <w:lvlText w:val="%1.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086B0C">
      <w:start w:val="1"/>
      <w:numFmt w:val="lowerLetter"/>
      <w:lvlText w:val="%2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A62A4B0">
      <w:start w:val="1"/>
      <w:numFmt w:val="lowerRoman"/>
      <w:lvlText w:val="%3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4C0AF4">
      <w:start w:val="1"/>
      <w:numFmt w:val="decimal"/>
      <w:lvlText w:val="%4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0C22A4">
      <w:start w:val="1"/>
      <w:numFmt w:val="lowerLetter"/>
      <w:lvlText w:val="%5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BDE0B52">
      <w:start w:val="1"/>
      <w:numFmt w:val="lowerRoman"/>
      <w:lvlText w:val="%6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5FEA03C">
      <w:start w:val="1"/>
      <w:numFmt w:val="decimal"/>
      <w:lvlText w:val="%7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268AC24">
      <w:start w:val="1"/>
      <w:numFmt w:val="lowerLetter"/>
      <w:lvlText w:val="%8"/>
      <w:lvlJc w:val="left"/>
      <w:pPr>
        <w:ind w:left="7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F780E6C">
      <w:start w:val="1"/>
      <w:numFmt w:val="lowerRoman"/>
      <w:lvlText w:val="%9"/>
      <w:lvlJc w:val="left"/>
      <w:pPr>
        <w:ind w:left="7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2E5C29"/>
    <w:multiLevelType w:val="hybridMultilevel"/>
    <w:tmpl w:val="991C5F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4F1C64"/>
    <w:multiLevelType w:val="hybridMultilevel"/>
    <w:tmpl w:val="BC8E405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45FDC"/>
    <w:multiLevelType w:val="hybridMultilevel"/>
    <w:tmpl w:val="991C5F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46734"/>
    <w:multiLevelType w:val="hybridMultilevel"/>
    <w:tmpl w:val="991C5F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B3086B"/>
    <w:multiLevelType w:val="hybridMultilevel"/>
    <w:tmpl w:val="5B7E66D0"/>
    <w:lvl w:ilvl="0" w:tplc="0409000F">
      <w:start w:val="1"/>
      <w:numFmt w:val="decimal"/>
      <w:lvlText w:val="%1."/>
      <w:lvlJc w:val="left"/>
      <w:pPr>
        <w:ind w:left="364" w:hanging="360"/>
      </w:p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41674309"/>
    <w:multiLevelType w:val="hybridMultilevel"/>
    <w:tmpl w:val="991C5F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C00F46"/>
    <w:multiLevelType w:val="hybridMultilevel"/>
    <w:tmpl w:val="BA0AC25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0F010C"/>
    <w:multiLevelType w:val="hybridMultilevel"/>
    <w:tmpl w:val="D21E4D8E"/>
    <w:lvl w:ilvl="0" w:tplc="0409000F">
      <w:start w:val="1"/>
      <w:numFmt w:val="decimal"/>
      <w:lvlText w:val="%1."/>
      <w:lvlJc w:val="left"/>
      <w:pPr>
        <w:ind w:left="441" w:hanging="360"/>
      </w:p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 w15:restartNumberingAfterBreak="0">
    <w:nsid w:val="66150E7C"/>
    <w:multiLevelType w:val="hybridMultilevel"/>
    <w:tmpl w:val="991C5F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2E295C"/>
    <w:multiLevelType w:val="hybridMultilevel"/>
    <w:tmpl w:val="891A2638"/>
    <w:lvl w:ilvl="0" w:tplc="8BA4BD44">
      <w:start w:val="100"/>
      <w:numFmt w:val="lowerRoman"/>
      <w:pStyle w:val="Heading1"/>
      <w:lvlText w:val="%1."/>
      <w:lvlJc w:val="left"/>
      <w:pPr>
        <w:ind w:left="-77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A7A8E">
      <w:start w:val="1"/>
      <w:numFmt w:val="lowerLetter"/>
      <w:lvlText w:val="%2"/>
      <w:lvlJc w:val="left"/>
      <w:pPr>
        <w:ind w:left="10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062E71EE">
      <w:start w:val="1"/>
      <w:numFmt w:val="lowerRoman"/>
      <w:lvlText w:val="%3"/>
      <w:lvlJc w:val="left"/>
      <w:pPr>
        <w:ind w:left="17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30581526">
      <w:start w:val="1"/>
      <w:numFmt w:val="decimal"/>
      <w:lvlText w:val="%4"/>
      <w:lvlJc w:val="left"/>
      <w:pPr>
        <w:ind w:left="24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A38025E">
      <w:start w:val="1"/>
      <w:numFmt w:val="lowerLetter"/>
      <w:lvlText w:val="%5"/>
      <w:lvlJc w:val="left"/>
      <w:pPr>
        <w:ind w:left="31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20C3D3C">
      <w:start w:val="1"/>
      <w:numFmt w:val="lowerRoman"/>
      <w:lvlText w:val="%6"/>
      <w:lvlJc w:val="left"/>
      <w:pPr>
        <w:ind w:left="38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766894E">
      <w:start w:val="1"/>
      <w:numFmt w:val="decimal"/>
      <w:lvlText w:val="%7"/>
      <w:lvlJc w:val="left"/>
      <w:pPr>
        <w:ind w:left="46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E3F49F5A">
      <w:start w:val="1"/>
      <w:numFmt w:val="lowerLetter"/>
      <w:lvlText w:val="%8"/>
      <w:lvlJc w:val="left"/>
      <w:pPr>
        <w:ind w:left="53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AE0DC9A">
      <w:start w:val="1"/>
      <w:numFmt w:val="lowerRoman"/>
      <w:lvlText w:val="%9"/>
      <w:lvlJc w:val="left"/>
      <w:pPr>
        <w:ind w:left="60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022C02"/>
    <w:multiLevelType w:val="hybridMultilevel"/>
    <w:tmpl w:val="991C5F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4F1431"/>
    <w:multiLevelType w:val="hybridMultilevel"/>
    <w:tmpl w:val="991C5F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81651E"/>
    <w:multiLevelType w:val="hybridMultilevel"/>
    <w:tmpl w:val="EAA6649E"/>
    <w:lvl w:ilvl="0" w:tplc="04090015">
      <w:start w:val="1"/>
      <w:numFmt w:val="upperLetter"/>
      <w:lvlText w:val="%1."/>
      <w:lvlJc w:val="left"/>
      <w:pPr>
        <w:ind w:left="451" w:hanging="360"/>
      </w:p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3"/>
  </w:num>
  <w:num w:numId="5">
    <w:abstractNumId w:val="13"/>
  </w:num>
  <w:num w:numId="6">
    <w:abstractNumId w:val="14"/>
  </w:num>
  <w:num w:numId="7">
    <w:abstractNumId w:val="10"/>
  </w:num>
  <w:num w:numId="8">
    <w:abstractNumId w:val="1"/>
  </w:num>
  <w:num w:numId="9">
    <w:abstractNumId w:val="21"/>
  </w:num>
  <w:num w:numId="10">
    <w:abstractNumId w:val="4"/>
  </w:num>
  <w:num w:numId="11">
    <w:abstractNumId w:val="7"/>
  </w:num>
  <w:num w:numId="12">
    <w:abstractNumId w:val="12"/>
  </w:num>
  <w:num w:numId="13">
    <w:abstractNumId w:val="20"/>
  </w:num>
  <w:num w:numId="14">
    <w:abstractNumId w:val="18"/>
  </w:num>
  <w:num w:numId="15">
    <w:abstractNumId w:val="2"/>
  </w:num>
  <w:num w:numId="16">
    <w:abstractNumId w:val="5"/>
  </w:num>
  <w:num w:numId="17">
    <w:abstractNumId w:val="8"/>
  </w:num>
  <w:num w:numId="18">
    <w:abstractNumId w:val="11"/>
  </w:num>
  <w:num w:numId="19">
    <w:abstractNumId w:val="9"/>
  </w:num>
  <w:num w:numId="20">
    <w:abstractNumId w:val="19"/>
  </w:num>
  <w:num w:numId="21">
    <w:abstractNumId w:val="17"/>
  </w:num>
  <w:num w:numId="22">
    <w:abstractNumId w:val="6"/>
  </w:num>
  <w:num w:numId="2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3E"/>
    <w:rsid w:val="000045DA"/>
    <w:rsid w:val="000048B2"/>
    <w:rsid w:val="00072E69"/>
    <w:rsid w:val="0008606B"/>
    <w:rsid w:val="000F4C1F"/>
    <w:rsid w:val="001E54CC"/>
    <w:rsid w:val="00226407"/>
    <w:rsid w:val="002C600B"/>
    <w:rsid w:val="0034138F"/>
    <w:rsid w:val="00382F0D"/>
    <w:rsid w:val="003D2C36"/>
    <w:rsid w:val="004302F9"/>
    <w:rsid w:val="00430723"/>
    <w:rsid w:val="00443DDF"/>
    <w:rsid w:val="00466518"/>
    <w:rsid w:val="00480E3E"/>
    <w:rsid w:val="004C623C"/>
    <w:rsid w:val="004D503E"/>
    <w:rsid w:val="00543856"/>
    <w:rsid w:val="00557A01"/>
    <w:rsid w:val="00590367"/>
    <w:rsid w:val="00601D42"/>
    <w:rsid w:val="00614609"/>
    <w:rsid w:val="00650BB8"/>
    <w:rsid w:val="006D1148"/>
    <w:rsid w:val="006D7EEC"/>
    <w:rsid w:val="006F7F13"/>
    <w:rsid w:val="007823DF"/>
    <w:rsid w:val="007B6949"/>
    <w:rsid w:val="007F6788"/>
    <w:rsid w:val="00810261"/>
    <w:rsid w:val="008A38B0"/>
    <w:rsid w:val="008E103D"/>
    <w:rsid w:val="009715B8"/>
    <w:rsid w:val="009747B7"/>
    <w:rsid w:val="009D5E71"/>
    <w:rsid w:val="009E3E7D"/>
    <w:rsid w:val="00A021C2"/>
    <w:rsid w:val="00A35FC5"/>
    <w:rsid w:val="00A405CF"/>
    <w:rsid w:val="00AC7BA6"/>
    <w:rsid w:val="00B016D1"/>
    <w:rsid w:val="00B426A4"/>
    <w:rsid w:val="00B52CC7"/>
    <w:rsid w:val="00BA6862"/>
    <w:rsid w:val="00BC36E4"/>
    <w:rsid w:val="00C34E18"/>
    <w:rsid w:val="00C96C08"/>
    <w:rsid w:val="00CD2240"/>
    <w:rsid w:val="00D409DA"/>
    <w:rsid w:val="00D45504"/>
    <w:rsid w:val="00D504AC"/>
    <w:rsid w:val="00DD5C64"/>
    <w:rsid w:val="00E56751"/>
    <w:rsid w:val="00EA1D71"/>
    <w:rsid w:val="00EA2888"/>
    <w:rsid w:val="00EC72EF"/>
    <w:rsid w:val="00F925AE"/>
    <w:rsid w:val="00F94AFE"/>
    <w:rsid w:val="00FA0751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966D"/>
  <w15:chartTrackingRefBased/>
  <w15:docId w15:val="{08BD9B3C-080A-4324-9952-B1C87484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382F0D"/>
    <w:pPr>
      <w:keepNext/>
      <w:keepLines/>
      <w:numPr>
        <w:numId w:val="20"/>
      </w:numPr>
      <w:spacing w:after="189"/>
      <w:outlineLvl w:val="0"/>
    </w:pPr>
    <w:rPr>
      <w:rFonts w:ascii="Courier New" w:eastAsia="Courier New" w:hAnsi="Courier New" w:cs="Courier New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rsid w:val="00382F0D"/>
    <w:pPr>
      <w:keepNext/>
      <w:keepLines/>
      <w:spacing w:after="316"/>
      <w:ind w:left="1489" w:right="56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03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66518"/>
    <w:rPr>
      <w:i/>
      <w:iCs/>
    </w:rPr>
  </w:style>
  <w:style w:type="character" w:customStyle="1" w:styleId="e24kjd">
    <w:name w:val="e24kjd"/>
    <w:basedOn w:val="DefaultParagraphFont"/>
    <w:rsid w:val="00430723"/>
  </w:style>
  <w:style w:type="character" w:customStyle="1" w:styleId="Heading1Char">
    <w:name w:val="Heading 1 Char"/>
    <w:basedOn w:val="DefaultParagraphFont"/>
    <w:link w:val="Heading1"/>
    <w:uiPriority w:val="9"/>
    <w:rsid w:val="00382F0D"/>
    <w:rPr>
      <w:rFonts w:ascii="Courier New" w:eastAsia="Courier New" w:hAnsi="Courier New" w:cs="Courier New"/>
      <w:color w:val="000000"/>
      <w:sz w:val="30"/>
    </w:rPr>
  </w:style>
  <w:style w:type="character" w:customStyle="1" w:styleId="Heading2Char">
    <w:name w:val="Heading 2 Char"/>
    <w:basedOn w:val="DefaultParagraphFont"/>
    <w:link w:val="Heading2"/>
    <w:uiPriority w:val="9"/>
    <w:rsid w:val="00382F0D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D5916-83A4-4D62-B3E1-6D9A3A0D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4001</Words>
  <Characters>22811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Purbo Suwasono</dc:creator>
  <cp:keywords/>
  <dc:description/>
  <cp:lastModifiedBy>Purbo Suwasono</cp:lastModifiedBy>
  <cp:revision>2</cp:revision>
  <dcterms:created xsi:type="dcterms:W3CDTF">2020-06-09T05:28:00Z</dcterms:created>
  <dcterms:modified xsi:type="dcterms:W3CDTF">2020-06-09T05:28:00Z</dcterms:modified>
</cp:coreProperties>
</file>